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sz w:val="52"/>
          <w:szCs w:val="52"/>
        </w:rPr>
      </w:pPr>
      <w:r>
        <w:rPr>
          <w:rFonts w:hint="eastAsia" w:ascii="宋体" w:hAnsi="宋体"/>
          <w:bCs/>
          <w:sz w:val="52"/>
          <w:szCs w:val="52"/>
        </w:rPr>
        <w:t>浙江省隧道工程集团有限公司</w:t>
      </w:r>
    </w:p>
    <w:p>
      <w:pPr>
        <w:spacing w:line="360" w:lineRule="auto"/>
        <w:jc w:val="center"/>
        <w:rPr>
          <w:rFonts w:hint="eastAsia" w:ascii="宋体" w:hAnsi="宋体"/>
          <w:bCs/>
          <w:w w:val="80"/>
          <w:sz w:val="52"/>
          <w:szCs w:val="52"/>
        </w:rPr>
      </w:pPr>
      <w:r>
        <w:rPr>
          <w:rFonts w:hint="eastAsia" w:ascii="宋体" w:hAnsi="宋体"/>
          <w:bCs/>
          <w:w w:val="80"/>
          <w:sz w:val="52"/>
          <w:szCs w:val="52"/>
          <w:lang w:val="en-US" w:eastAsia="zh-CN"/>
        </w:rPr>
        <w:t>温州市瓯江引水工程三标段EPC工程总承包</w:t>
      </w:r>
      <w:r>
        <w:rPr>
          <w:rFonts w:hint="eastAsia" w:ascii="宋体" w:hAnsi="宋体"/>
          <w:bCs/>
          <w:w w:val="80"/>
          <w:sz w:val="52"/>
          <w:szCs w:val="52"/>
        </w:rPr>
        <w:t>项目</w:t>
      </w:r>
    </w:p>
    <w:p>
      <w:pPr>
        <w:spacing w:line="360" w:lineRule="auto"/>
        <w:jc w:val="center"/>
        <w:rPr>
          <w:rFonts w:ascii="宋体" w:hAnsi="宋体"/>
          <w:bCs/>
          <w:sz w:val="52"/>
          <w:szCs w:val="52"/>
        </w:rPr>
      </w:pPr>
      <w:r>
        <w:rPr>
          <w:rFonts w:hint="eastAsia" w:ascii="宋体" w:hAnsi="宋体"/>
          <w:bCs/>
          <w:sz w:val="52"/>
          <w:szCs w:val="52"/>
          <w:lang w:val="en-US" w:eastAsia="zh-CN"/>
        </w:rPr>
        <w:t>钢筋混凝土管节</w:t>
      </w:r>
      <w:r>
        <w:rPr>
          <w:rFonts w:hint="eastAsia" w:ascii="宋体" w:hAnsi="宋体"/>
          <w:bCs/>
          <w:sz w:val="52"/>
          <w:szCs w:val="52"/>
        </w:rPr>
        <w:t>采购</w:t>
      </w:r>
    </w:p>
    <w:p>
      <w:pPr>
        <w:jc w:val="center"/>
        <w:rPr>
          <w:rFonts w:hint="eastAsia" w:ascii="宋体" w:hAnsi="宋体"/>
          <w:spacing w:val="34"/>
          <w:sz w:val="36"/>
          <w:szCs w:val="36"/>
          <w:lang w:val="en-GB"/>
        </w:rPr>
      </w:pPr>
      <w:r>
        <w:rPr>
          <w:rFonts w:hint="eastAsia" w:ascii="宋体" w:hAnsi="宋体"/>
          <w:spacing w:val="34"/>
          <w:sz w:val="36"/>
          <w:szCs w:val="36"/>
          <w:lang w:val="en-GB"/>
        </w:rPr>
        <w:t xml:space="preserve">                                                                                                                                                    </w:t>
      </w:r>
    </w:p>
    <w:p>
      <w:pPr>
        <w:jc w:val="center"/>
        <w:rPr>
          <w:rFonts w:hint="eastAsia" w:ascii="宋体" w:hAnsi="宋体"/>
          <w:spacing w:val="34"/>
          <w:sz w:val="36"/>
          <w:szCs w:val="36"/>
        </w:rPr>
      </w:pPr>
    </w:p>
    <w:p>
      <w:pPr>
        <w:jc w:val="center"/>
        <w:rPr>
          <w:rFonts w:hint="eastAsia" w:ascii="宋体" w:hAnsi="宋体"/>
          <w:sz w:val="84"/>
          <w:szCs w:val="84"/>
        </w:rPr>
      </w:pPr>
      <w:r>
        <w:rPr>
          <w:rFonts w:hint="eastAsia" w:ascii="宋体" w:hAnsi="宋体"/>
          <w:spacing w:val="34"/>
          <w:sz w:val="84"/>
          <w:szCs w:val="84"/>
        </w:rPr>
        <w:t>招 标 文 件</w:t>
      </w:r>
    </w:p>
    <w:p>
      <w:pPr>
        <w:jc w:val="center"/>
        <w:rPr>
          <w:rFonts w:hint="eastAsia" w:ascii="宋体" w:hAnsi="宋体"/>
          <w:sz w:val="32"/>
          <w:szCs w:val="36"/>
        </w:rPr>
      </w:pPr>
    </w:p>
    <w:p>
      <w:pPr>
        <w:jc w:val="center"/>
        <w:rPr>
          <w:rFonts w:hint="eastAsia" w:ascii="宋体" w:hAnsi="宋体"/>
          <w:b/>
          <w:sz w:val="36"/>
          <w:szCs w:val="36"/>
        </w:rPr>
      </w:pPr>
      <w:r>
        <w:rPr>
          <w:rFonts w:hint="eastAsia" w:ascii="宋体" w:hAnsi="宋体"/>
          <w:sz w:val="32"/>
          <w:szCs w:val="36"/>
        </w:rPr>
        <w:t>招标编号：ZJSD-</w:t>
      </w:r>
      <w:r>
        <w:rPr>
          <w:rFonts w:hint="eastAsia" w:ascii="宋体" w:hAnsi="宋体"/>
          <w:color w:val="auto"/>
          <w:sz w:val="32"/>
          <w:szCs w:val="36"/>
          <w:highlight w:val="none"/>
        </w:rPr>
        <w:t>OJYS</w:t>
      </w:r>
      <w:r>
        <w:rPr>
          <w:rFonts w:hint="eastAsia" w:ascii="宋体" w:hAnsi="宋体"/>
          <w:color w:val="auto"/>
          <w:sz w:val="32"/>
          <w:szCs w:val="36"/>
          <w:highlight w:val="none"/>
          <w:lang w:val="en-US" w:eastAsia="zh-CN"/>
        </w:rPr>
        <w:t>-</w:t>
      </w:r>
      <w:r>
        <w:rPr>
          <w:rFonts w:hint="eastAsia" w:ascii="宋体" w:hAnsi="宋体"/>
          <w:sz w:val="32"/>
          <w:szCs w:val="36"/>
        </w:rPr>
        <w:t>202</w:t>
      </w:r>
      <w:r>
        <w:rPr>
          <w:rFonts w:hint="eastAsia" w:ascii="宋体" w:hAnsi="宋体"/>
          <w:sz w:val="32"/>
          <w:szCs w:val="36"/>
          <w:lang w:val="en-US" w:eastAsia="zh-CN"/>
        </w:rPr>
        <w:t>401（02）</w:t>
      </w:r>
    </w:p>
    <w:p>
      <w:pPr>
        <w:pStyle w:val="7"/>
        <w:ind w:left="0" w:leftChars="0"/>
        <w:rPr>
          <w:rFonts w:hint="eastAsia" w:ascii="宋体" w:hAnsi="宋体"/>
          <w:sz w:val="36"/>
          <w:szCs w:val="36"/>
        </w:rPr>
      </w:pPr>
    </w:p>
    <w:p>
      <w:pPr>
        <w:pStyle w:val="7"/>
        <w:ind w:left="0" w:leftChars="0" w:firstLine="2520" w:firstLineChars="700"/>
        <w:rPr>
          <w:rFonts w:hint="eastAsia" w:ascii="宋体" w:hAnsi="宋体"/>
          <w:sz w:val="36"/>
          <w:szCs w:val="36"/>
        </w:rPr>
      </w:pPr>
    </w:p>
    <w:p>
      <w:pPr>
        <w:rPr>
          <w:rFonts w:hint="eastAsia" w:ascii="宋体" w:hAnsi="宋体"/>
        </w:rPr>
      </w:pPr>
    </w:p>
    <w:p>
      <w:pPr>
        <w:pStyle w:val="7"/>
        <w:ind w:left="0" w:leftChars="0" w:firstLine="2520" w:firstLineChars="700"/>
        <w:rPr>
          <w:rFonts w:hint="eastAsia" w:ascii="宋体" w:hAnsi="宋体"/>
          <w:sz w:val="36"/>
          <w:szCs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7"/>
        <w:ind w:left="0" w:leftChars="0" w:firstLine="2520" w:firstLineChars="700"/>
        <w:rPr>
          <w:rFonts w:hint="eastAsia" w:ascii="宋体" w:hAnsi="宋体"/>
          <w:sz w:val="36"/>
          <w:szCs w:val="36"/>
        </w:rPr>
      </w:pPr>
    </w:p>
    <w:p>
      <w:pPr>
        <w:pStyle w:val="7"/>
        <w:spacing w:line="360" w:lineRule="auto"/>
        <w:ind w:left="99" w:leftChars="47"/>
        <w:jc w:val="center"/>
        <w:rPr>
          <w:rFonts w:hint="eastAsia" w:ascii="宋体" w:hAnsi="宋体"/>
          <w:sz w:val="36"/>
          <w:szCs w:val="36"/>
        </w:rPr>
      </w:pPr>
      <w:r>
        <w:rPr>
          <w:rFonts w:hint="eastAsia" w:ascii="宋体" w:hAnsi="宋体"/>
          <w:sz w:val="36"/>
          <w:szCs w:val="36"/>
        </w:rPr>
        <w:t>招标人：浙江省隧道工程集团有限公司</w:t>
      </w:r>
    </w:p>
    <w:p>
      <w:pPr>
        <w:rPr>
          <w:rFonts w:hint="eastAsia" w:ascii="宋体" w:hAnsi="宋体"/>
          <w:sz w:val="24"/>
        </w:rPr>
      </w:pPr>
    </w:p>
    <w:p>
      <w:pPr>
        <w:spacing w:line="360" w:lineRule="auto"/>
        <w:jc w:val="center"/>
        <w:rPr>
          <w:rFonts w:hint="eastAsia" w:ascii="宋体" w:hAnsi="宋体"/>
          <w:b/>
          <w:sz w:val="30"/>
          <w:szCs w:val="30"/>
          <w:lang w:val="en-US" w:eastAsia="zh-CN"/>
        </w:rPr>
      </w:pPr>
      <w:r>
        <w:rPr>
          <w:rFonts w:hint="eastAsia" w:ascii="宋体" w:hAnsi="宋体"/>
          <w:b/>
          <w:sz w:val="30"/>
          <w:szCs w:val="30"/>
          <w:lang w:val="en-US" w:eastAsia="zh-CN"/>
        </w:rPr>
        <w:t>二〇二四</w:t>
      </w:r>
      <w:r>
        <w:rPr>
          <w:rFonts w:hint="eastAsia" w:ascii="宋体" w:hAnsi="宋体"/>
          <w:b/>
          <w:sz w:val="30"/>
          <w:szCs w:val="30"/>
        </w:rPr>
        <w:t>年</w:t>
      </w:r>
      <w:r>
        <w:rPr>
          <w:rFonts w:hint="eastAsia" w:ascii="宋体" w:hAnsi="宋体"/>
          <w:b/>
          <w:sz w:val="30"/>
          <w:szCs w:val="30"/>
          <w:lang w:val="en-US" w:eastAsia="zh-CN"/>
        </w:rPr>
        <w:t>一</w:t>
      </w:r>
      <w:r>
        <w:rPr>
          <w:rFonts w:hint="eastAsia" w:ascii="宋体" w:hAnsi="宋体"/>
          <w:b/>
          <w:sz w:val="30"/>
          <w:szCs w:val="30"/>
        </w:rPr>
        <w:t>月</w:t>
      </w:r>
      <w:r>
        <w:rPr>
          <w:rFonts w:hint="eastAsia" w:ascii="宋体" w:hAnsi="宋体"/>
          <w:b/>
          <w:sz w:val="30"/>
          <w:szCs w:val="30"/>
          <w:lang w:val="en-US" w:eastAsia="zh-CN"/>
        </w:rPr>
        <w:t>二十五日</w:t>
      </w:r>
    </w:p>
    <w:p>
      <w:pPr>
        <w:spacing w:line="360" w:lineRule="auto"/>
        <w:jc w:val="center"/>
        <w:rPr>
          <w:rFonts w:ascii="宋体" w:hAnsi="宋体" w:cs="Arial"/>
          <w:b/>
          <w:sz w:val="22"/>
          <w:szCs w:val="22"/>
        </w:rPr>
      </w:pPr>
    </w:p>
    <w:p>
      <w:pPr>
        <w:spacing w:line="360" w:lineRule="auto"/>
        <w:jc w:val="center"/>
        <w:rPr>
          <w:rFonts w:ascii="宋体" w:hAnsi="宋体" w:cs="Arial"/>
          <w:bCs/>
          <w:sz w:val="52"/>
          <w:szCs w:val="52"/>
        </w:rPr>
      </w:pPr>
      <w:r>
        <w:rPr>
          <w:rFonts w:ascii="宋体" w:hAnsi="宋体" w:cs="Arial"/>
          <w:bCs/>
          <w:sz w:val="52"/>
          <w:szCs w:val="52"/>
        </w:rPr>
        <w:t>目    录</w:t>
      </w:r>
    </w:p>
    <w:p>
      <w:pPr>
        <w:spacing w:line="360" w:lineRule="auto"/>
        <w:jc w:val="center"/>
        <w:rPr>
          <w:rFonts w:ascii="宋体" w:hAnsi="宋体" w:cs="Arial"/>
          <w:b/>
          <w:bCs/>
          <w:sz w:val="32"/>
          <w:szCs w:val="32"/>
        </w:rPr>
      </w:pPr>
    </w:p>
    <w:p>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投标邀请函</w:t>
      </w:r>
    </w:p>
    <w:p>
      <w:pPr>
        <w:spacing w:line="360" w:lineRule="auto"/>
        <w:ind w:firstLine="1280" w:firstLineChars="400"/>
        <w:rPr>
          <w:rFonts w:ascii="宋体" w:hAnsi="宋体" w:cs="Arial"/>
          <w:sz w:val="32"/>
        </w:rPr>
      </w:pPr>
      <w:r>
        <w:rPr>
          <w:rFonts w:ascii="宋体" w:hAnsi="宋体" w:cs="Arial"/>
          <w:sz w:val="32"/>
        </w:rPr>
        <w:t>第二部分      编制和提交投标文件须知</w:t>
      </w:r>
    </w:p>
    <w:p>
      <w:pPr>
        <w:spacing w:line="360" w:lineRule="auto"/>
        <w:ind w:firstLine="1280" w:firstLineChars="400"/>
        <w:rPr>
          <w:rFonts w:ascii="宋体" w:hAnsi="宋体" w:cs="Arial"/>
          <w:sz w:val="32"/>
        </w:rPr>
      </w:pPr>
      <w:r>
        <w:rPr>
          <w:rFonts w:ascii="宋体" w:hAnsi="宋体" w:cs="Arial"/>
          <w:sz w:val="32"/>
        </w:rPr>
        <w:t>第三部分      采购需求和服务要求</w:t>
      </w:r>
    </w:p>
    <w:p>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pPr>
        <w:spacing w:line="360" w:lineRule="auto"/>
        <w:jc w:val="center"/>
        <w:rPr>
          <w:rFonts w:ascii="宋体" w:hAnsi="宋体" w:cs="Arial"/>
          <w:b/>
          <w:bCs/>
          <w:sz w:val="32"/>
          <w:szCs w:val="32"/>
        </w:rPr>
      </w:pPr>
    </w:p>
    <w:p>
      <w:pPr>
        <w:spacing w:line="360" w:lineRule="auto"/>
        <w:jc w:val="center"/>
        <w:rPr>
          <w:rFonts w:ascii="宋体" w:hAnsi="宋体" w:cs="Arial"/>
          <w:b/>
          <w:bCs/>
          <w:sz w:val="32"/>
          <w:szCs w:val="32"/>
        </w:rPr>
      </w:pPr>
    </w:p>
    <w:p>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投标邀请函</w:t>
      </w:r>
    </w:p>
    <w:p>
      <w:pPr>
        <w:spacing w:line="460" w:lineRule="exact"/>
        <w:jc w:val="center"/>
        <w:rPr>
          <w:rFonts w:ascii="宋体" w:hAnsi="宋体" w:cs="Arial"/>
          <w:b/>
          <w:bCs/>
          <w:sz w:val="36"/>
        </w:rPr>
      </w:pPr>
    </w:p>
    <w:p>
      <w:pPr>
        <w:spacing w:line="440" w:lineRule="exact"/>
        <w:ind w:firstLine="480"/>
        <w:rPr>
          <w:rFonts w:ascii="宋体" w:hAnsi="宋体" w:cs="Arial"/>
          <w:b/>
          <w:sz w:val="24"/>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cs="Arial"/>
          <w:sz w:val="24"/>
        </w:rPr>
        <w:t>ZJSD-OJYS</w:t>
      </w:r>
      <w:r>
        <w:rPr>
          <w:rFonts w:hint="eastAsia" w:ascii="宋体" w:hAnsi="宋体" w:cs="Arial"/>
          <w:sz w:val="24"/>
          <w:lang w:val="en-US" w:eastAsia="zh-CN"/>
        </w:rPr>
        <w:t>-</w:t>
      </w:r>
      <w:r>
        <w:rPr>
          <w:rFonts w:hint="eastAsia" w:ascii="宋体" w:hAnsi="宋体" w:cs="Arial"/>
          <w:sz w:val="24"/>
        </w:rPr>
        <w:t>20</w:t>
      </w:r>
      <w:r>
        <w:rPr>
          <w:rFonts w:hint="eastAsia" w:ascii="宋体" w:hAnsi="宋体" w:cs="Arial"/>
          <w:sz w:val="24"/>
          <w:lang w:val="en-US" w:eastAsia="zh-CN"/>
        </w:rPr>
        <w:t>2401（02）</w:t>
      </w:r>
    </w:p>
    <w:p>
      <w:pPr>
        <w:spacing w:line="440" w:lineRule="exact"/>
        <w:ind w:firstLine="480"/>
        <w:rPr>
          <w:rFonts w:ascii="宋体" w:hAnsi="宋体" w:cs="Arial"/>
          <w:sz w:val="24"/>
        </w:rPr>
      </w:pPr>
      <w:r>
        <w:rPr>
          <w:rFonts w:ascii="宋体" w:hAnsi="宋体" w:cs="Arial"/>
          <w:b/>
          <w:sz w:val="24"/>
        </w:rPr>
        <w:t>2、项目名称：</w:t>
      </w:r>
      <w:r>
        <w:rPr>
          <w:rFonts w:hint="eastAsia" w:ascii="宋体" w:hAnsi="宋体" w:cs="Arial"/>
          <w:sz w:val="24"/>
          <w:lang w:val="en-US" w:eastAsia="zh-CN"/>
        </w:rPr>
        <w:t>温州市瓯江引水工程三标段EPC工程总承包</w:t>
      </w:r>
      <w:r>
        <w:rPr>
          <w:rFonts w:hint="eastAsia" w:ascii="宋体" w:hAnsi="宋体" w:cs="Arial"/>
          <w:sz w:val="24"/>
        </w:rPr>
        <w:t>项目</w:t>
      </w:r>
    </w:p>
    <w:p>
      <w:pPr>
        <w:pStyle w:val="3"/>
        <w:spacing w:line="440" w:lineRule="exact"/>
        <w:ind w:firstLine="472"/>
        <w:rPr>
          <w:rFonts w:hint="eastAsia" w:ascii="宋体" w:hAnsi="宋体" w:cs="Arial"/>
          <w:color w:val="auto"/>
          <w:sz w:val="24"/>
          <w:lang w:val="en-US" w:eastAsia="zh-CN"/>
        </w:rPr>
      </w:pPr>
      <w:r>
        <w:rPr>
          <w:rFonts w:ascii="宋体" w:hAnsi="宋体" w:cs="Arial"/>
          <w:b/>
          <w:kern w:val="2"/>
          <w:sz w:val="24"/>
          <w:szCs w:val="24"/>
        </w:rPr>
        <w:t>3、采购内容：</w:t>
      </w:r>
      <w:r>
        <w:rPr>
          <w:rFonts w:hint="eastAsia" w:ascii="宋体" w:hAnsi="宋体" w:cs="Arial"/>
          <w:color w:val="auto"/>
          <w:sz w:val="24"/>
          <w:lang w:val="en-US" w:eastAsia="zh-CN"/>
        </w:rPr>
        <w:t>混凝土管节采购</w:t>
      </w:r>
    </w:p>
    <w:p>
      <w:pPr>
        <w:pStyle w:val="3"/>
        <w:spacing w:line="440" w:lineRule="exact"/>
        <w:ind w:firstLine="960" w:firstLineChars="400"/>
        <w:rPr>
          <w:rFonts w:hint="eastAsia" w:ascii="宋体" w:hAnsi="宋体" w:cs="Arial"/>
          <w:kern w:val="2"/>
          <w:sz w:val="24"/>
          <w:szCs w:val="24"/>
        </w:rPr>
      </w:pPr>
      <w:r>
        <w:rPr>
          <w:rFonts w:ascii="宋体" w:hAnsi="宋体" w:cs="Arial"/>
          <w:kern w:val="2"/>
          <w:sz w:val="24"/>
          <w:szCs w:val="24"/>
        </w:rPr>
        <w:t>具体内容详见招标文件。</w:t>
      </w:r>
    </w:p>
    <w:p>
      <w:pPr>
        <w:spacing w:line="440" w:lineRule="exact"/>
        <w:ind w:firstLine="480"/>
        <w:rPr>
          <w:rFonts w:ascii="宋体" w:hAnsi="宋体" w:cs="Arial"/>
          <w:sz w:val="24"/>
        </w:rPr>
      </w:pPr>
      <w:r>
        <w:rPr>
          <w:rFonts w:hint="eastAsia" w:ascii="宋体" w:hAnsi="宋体" w:cs="Arial"/>
          <w:b/>
          <w:sz w:val="24"/>
        </w:rPr>
        <w:t>4</w:t>
      </w:r>
      <w:r>
        <w:rPr>
          <w:rFonts w:ascii="宋体" w:hAnsi="宋体" w:cs="Arial"/>
          <w:b/>
          <w:sz w:val="24"/>
        </w:rPr>
        <w:t>、采购方式：</w:t>
      </w:r>
      <w:r>
        <w:rPr>
          <w:rFonts w:hint="eastAsia" w:ascii="宋体" w:hAnsi="宋体" w:cs="Arial"/>
          <w:sz w:val="24"/>
        </w:rPr>
        <w:t>邀请</w:t>
      </w:r>
      <w:r>
        <w:rPr>
          <w:rFonts w:ascii="宋体" w:hAnsi="宋体" w:cs="Arial"/>
          <w:sz w:val="24"/>
        </w:rPr>
        <w:t>招标。</w:t>
      </w:r>
    </w:p>
    <w:p>
      <w:pPr>
        <w:spacing w:line="440" w:lineRule="exact"/>
        <w:ind w:firstLine="480"/>
        <w:rPr>
          <w:rFonts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pPr>
        <w:spacing w:line="440" w:lineRule="exact"/>
        <w:ind w:firstLine="480"/>
        <w:rPr>
          <w:rFonts w:hint="eastAsia" w:ascii="宋体" w:hAnsi="宋体" w:cs="Arial"/>
          <w:sz w:val="24"/>
        </w:rPr>
      </w:pPr>
      <w:r>
        <w:rPr>
          <w:rFonts w:hint="eastAsia" w:ascii="宋体" w:hAnsi="宋体" w:cs="Arial"/>
          <w:sz w:val="24"/>
          <w:lang w:val="en-US" w:eastAsia="zh-CN"/>
        </w:rPr>
        <w:t>2024</w:t>
      </w:r>
      <w:r>
        <w:rPr>
          <w:rFonts w:ascii="宋体" w:hAnsi="宋体" w:cs="Arial"/>
          <w:sz w:val="24"/>
        </w:rPr>
        <w:t xml:space="preserve">年 </w:t>
      </w:r>
      <w:r>
        <w:rPr>
          <w:rFonts w:hint="eastAsia" w:ascii="宋体" w:hAnsi="宋体" w:cs="Arial"/>
          <w:sz w:val="24"/>
          <w:lang w:val="en-US" w:eastAsia="zh-CN"/>
        </w:rPr>
        <w:t>1</w:t>
      </w:r>
      <w:r>
        <w:rPr>
          <w:rFonts w:ascii="宋体" w:hAnsi="宋体" w:cs="Arial"/>
          <w:sz w:val="24"/>
        </w:rPr>
        <w:t xml:space="preserve"> 月 </w:t>
      </w:r>
      <w:r>
        <w:rPr>
          <w:rFonts w:hint="eastAsia" w:ascii="宋体" w:hAnsi="宋体" w:cs="Arial"/>
          <w:sz w:val="24"/>
          <w:lang w:val="en-US" w:eastAsia="zh-CN"/>
        </w:rPr>
        <w:t>25</w:t>
      </w:r>
      <w:r>
        <w:rPr>
          <w:rFonts w:ascii="宋体" w:hAnsi="宋体" w:cs="Arial"/>
          <w:sz w:val="24"/>
        </w:rPr>
        <w:t>日至</w:t>
      </w:r>
      <w:r>
        <w:rPr>
          <w:rFonts w:hint="eastAsia" w:ascii="宋体" w:hAnsi="宋体" w:cs="Arial"/>
          <w:sz w:val="24"/>
          <w:lang w:val="en-US" w:eastAsia="zh-CN"/>
        </w:rPr>
        <w:t>2024</w:t>
      </w:r>
      <w:r>
        <w:rPr>
          <w:rFonts w:ascii="宋体" w:hAnsi="宋体" w:cs="Arial"/>
          <w:sz w:val="24"/>
        </w:rPr>
        <w:t>年</w:t>
      </w:r>
      <w:r>
        <w:rPr>
          <w:rFonts w:hint="eastAsia" w:ascii="宋体" w:hAnsi="宋体" w:cs="Arial"/>
          <w:sz w:val="24"/>
          <w:lang w:val="en-US" w:eastAsia="zh-CN"/>
        </w:rPr>
        <w:t>1</w:t>
      </w:r>
      <w:r>
        <w:rPr>
          <w:rFonts w:ascii="宋体" w:hAnsi="宋体" w:cs="Arial"/>
          <w:sz w:val="24"/>
        </w:rPr>
        <w:t xml:space="preserve"> 月</w:t>
      </w:r>
      <w:r>
        <w:rPr>
          <w:rFonts w:hint="eastAsia" w:ascii="宋体" w:hAnsi="宋体" w:cs="Arial"/>
          <w:sz w:val="24"/>
          <w:lang w:val="en-US" w:eastAsia="zh-CN"/>
        </w:rPr>
        <w:t>28</w:t>
      </w:r>
      <w:r>
        <w:rPr>
          <w:rFonts w:ascii="宋体" w:hAnsi="宋体" w:cs="Arial"/>
          <w:sz w:val="24"/>
        </w:rPr>
        <w:t xml:space="preserve"> 日止</w:t>
      </w:r>
      <w:r>
        <w:rPr>
          <w:rFonts w:hint="eastAsia" w:ascii="宋体" w:hAnsi="宋体" w:cs="Arial"/>
          <w:sz w:val="24"/>
          <w:lang w:eastAsia="zh-CN"/>
        </w:rPr>
        <w:t>，</w:t>
      </w:r>
      <w:r>
        <w:rPr>
          <w:rFonts w:hint="eastAsia" w:ascii="宋体" w:hAnsi="宋体" w:cs="Arial"/>
          <w:sz w:val="24"/>
          <w:lang w:val="en-US" w:eastAsia="zh-CN"/>
        </w:rPr>
        <w:t>通过电子邮件发送给投标人</w:t>
      </w:r>
      <w:r>
        <w:rPr>
          <w:rFonts w:hint="eastAsia" w:ascii="宋体" w:hAnsi="宋体" w:cs="Arial"/>
          <w:sz w:val="24"/>
        </w:rPr>
        <w:t>。</w:t>
      </w:r>
    </w:p>
    <w:p>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、投标截止时间与地点：</w:t>
      </w:r>
    </w:p>
    <w:p>
      <w:pPr>
        <w:spacing w:line="440" w:lineRule="exact"/>
        <w:ind w:firstLine="480"/>
        <w:rPr>
          <w:rFonts w:ascii="宋体" w:hAnsi="宋体" w:cs="Arial"/>
          <w:sz w:val="24"/>
        </w:rPr>
      </w:pPr>
      <w:r>
        <w:rPr>
          <w:rFonts w:hint="eastAsia" w:ascii="宋体" w:hAnsi="宋体" w:cs="Arial"/>
          <w:sz w:val="24"/>
          <w:lang w:val="en-US" w:eastAsia="zh-CN"/>
        </w:rPr>
        <w:t>2024</w:t>
      </w:r>
      <w:r>
        <w:rPr>
          <w:rFonts w:ascii="宋体" w:hAnsi="宋体" w:cs="Arial"/>
          <w:sz w:val="24"/>
        </w:rPr>
        <w:t xml:space="preserve">年 </w:t>
      </w:r>
      <w:r>
        <w:rPr>
          <w:rFonts w:hint="eastAsia" w:ascii="宋体" w:hAnsi="宋体" w:cs="Arial"/>
          <w:sz w:val="24"/>
          <w:lang w:val="en-US" w:eastAsia="zh-CN"/>
        </w:rPr>
        <w:t>2</w:t>
      </w:r>
      <w:r>
        <w:rPr>
          <w:rFonts w:ascii="宋体" w:hAnsi="宋体" w:cs="Arial"/>
          <w:sz w:val="24"/>
        </w:rPr>
        <w:t xml:space="preserve">月 </w:t>
      </w:r>
      <w:r>
        <w:rPr>
          <w:rFonts w:hint="eastAsia" w:ascii="宋体" w:hAnsi="宋体" w:cs="Arial"/>
          <w:sz w:val="24"/>
          <w:lang w:val="en-US" w:eastAsia="zh-CN"/>
        </w:rPr>
        <w:t>6</w:t>
      </w:r>
      <w:r>
        <w:rPr>
          <w:rFonts w:ascii="宋体" w:hAnsi="宋体" w:cs="Arial"/>
          <w:sz w:val="24"/>
        </w:rPr>
        <w:t>日</w:t>
      </w:r>
      <w:r>
        <w:rPr>
          <w:rFonts w:hint="eastAsia" w:ascii="宋体" w:hAnsi="宋体" w:cs="Arial"/>
          <w:sz w:val="24"/>
          <w:lang w:val="en-US" w:eastAsia="zh-CN"/>
        </w:rPr>
        <w:t>上</w:t>
      </w:r>
      <w:r>
        <w:rPr>
          <w:rFonts w:ascii="宋体" w:hAnsi="宋体" w:cs="Arial"/>
          <w:sz w:val="24"/>
        </w:rPr>
        <w:t>午</w:t>
      </w:r>
      <w:r>
        <w:rPr>
          <w:rFonts w:hint="eastAsia" w:ascii="宋体" w:hAnsi="宋体" w:cs="Arial"/>
          <w:sz w:val="24"/>
          <w:lang w:val="en-US" w:eastAsia="zh-CN"/>
        </w:rPr>
        <w:t>9</w:t>
      </w:r>
      <w:r>
        <w:rPr>
          <w:rFonts w:ascii="宋体" w:hAnsi="宋体" w:cs="Arial"/>
          <w:sz w:val="24"/>
        </w:rPr>
        <w:t>时</w:t>
      </w:r>
      <w:r>
        <w:rPr>
          <w:rFonts w:hint="eastAsia" w:ascii="宋体" w:hAnsi="宋体" w:cs="Arial"/>
          <w:sz w:val="24"/>
          <w:lang w:val="en-US" w:eastAsia="zh-CN"/>
        </w:rPr>
        <w:t>30</w:t>
      </w:r>
      <w:r>
        <w:rPr>
          <w:rFonts w:ascii="宋体" w:hAnsi="宋体" w:cs="Arial"/>
          <w:sz w:val="24"/>
        </w:rPr>
        <w:t>分</w:t>
      </w:r>
    </w:p>
    <w:p>
      <w:pPr>
        <w:spacing w:line="440" w:lineRule="exact"/>
        <w:ind w:firstLine="480"/>
        <w:rPr>
          <w:rFonts w:hint="eastAsia" w:ascii="宋体" w:hAnsi="宋体" w:eastAsia="宋体" w:cs="Arial"/>
          <w:color w:val="FF0000"/>
          <w:sz w:val="24"/>
          <w:lang w:val="en-US" w:eastAsia="zh-CN"/>
        </w:rPr>
      </w:pPr>
      <w:r>
        <w:rPr>
          <w:rFonts w:ascii="宋体" w:hAnsi="宋体" w:cs="Arial"/>
          <w:sz w:val="24"/>
        </w:rPr>
        <w:t>地点：</w:t>
      </w:r>
      <w:r>
        <w:rPr>
          <w:rFonts w:hint="eastAsia" w:ascii="宋体" w:hAnsi="宋体" w:cs="Arial"/>
          <w:sz w:val="24"/>
        </w:rPr>
        <w:t>浙江省杭州市西湖区古墩路673号瑞博国际A座15楼会议室</w:t>
      </w:r>
    </w:p>
    <w:p>
      <w:pPr>
        <w:spacing w:line="440" w:lineRule="exact"/>
        <w:ind w:firstLine="482"/>
        <w:rPr>
          <w:rFonts w:ascii="宋体" w:hAnsi="宋体" w:cs="Arial"/>
          <w:b/>
          <w:sz w:val="24"/>
        </w:rPr>
      </w:pPr>
      <w:r>
        <w:rPr>
          <w:rFonts w:ascii="宋体" w:hAnsi="宋体" w:cs="Arial"/>
          <w:b/>
          <w:sz w:val="24"/>
        </w:rPr>
        <w:t>7、开标时间与地点：</w:t>
      </w:r>
    </w:p>
    <w:p>
      <w:pPr>
        <w:spacing w:line="440" w:lineRule="exact"/>
        <w:ind w:firstLine="480"/>
        <w:rPr>
          <w:rFonts w:ascii="宋体" w:hAnsi="宋体" w:cs="Arial"/>
          <w:sz w:val="24"/>
        </w:rPr>
      </w:pPr>
      <w:r>
        <w:rPr>
          <w:rFonts w:hint="eastAsia" w:ascii="宋体" w:hAnsi="宋体" w:cs="Arial"/>
          <w:sz w:val="24"/>
          <w:lang w:val="en-US" w:eastAsia="zh-CN"/>
        </w:rPr>
        <w:t>2024</w:t>
      </w:r>
      <w:r>
        <w:rPr>
          <w:rFonts w:ascii="宋体" w:hAnsi="宋体" w:cs="Arial"/>
          <w:sz w:val="24"/>
        </w:rPr>
        <w:t xml:space="preserve">年 </w:t>
      </w:r>
      <w:r>
        <w:rPr>
          <w:rFonts w:hint="eastAsia" w:ascii="宋体" w:hAnsi="宋体" w:cs="Arial"/>
          <w:sz w:val="24"/>
          <w:lang w:val="en-US" w:eastAsia="zh-CN"/>
        </w:rPr>
        <w:t>2</w:t>
      </w:r>
      <w:r>
        <w:rPr>
          <w:rFonts w:ascii="宋体" w:hAnsi="宋体" w:cs="Arial"/>
          <w:sz w:val="24"/>
        </w:rPr>
        <w:t xml:space="preserve">月 </w:t>
      </w:r>
      <w:r>
        <w:rPr>
          <w:rFonts w:hint="eastAsia" w:ascii="宋体" w:hAnsi="宋体" w:cs="Arial"/>
          <w:sz w:val="24"/>
          <w:lang w:val="en-US" w:eastAsia="zh-CN"/>
        </w:rPr>
        <w:t>6</w:t>
      </w:r>
      <w:r>
        <w:rPr>
          <w:rFonts w:ascii="宋体" w:hAnsi="宋体" w:cs="Arial"/>
          <w:sz w:val="24"/>
        </w:rPr>
        <w:t>日</w:t>
      </w:r>
      <w:r>
        <w:rPr>
          <w:rFonts w:hint="eastAsia" w:ascii="宋体" w:hAnsi="宋体" w:cs="Arial"/>
          <w:sz w:val="24"/>
          <w:lang w:val="en-US" w:eastAsia="zh-CN"/>
        </w:rPr>
        <w:t>上</w:t>
      </w:r>
      <w:r>
        <w:rPr>
          <w:rFonts w:ascii="宋体" w:hAnsi="宋体" w:cs="Arial"/>
          <w:sz w:val="24"/>
        </w:rPr>
        <w:t>午</w:t>
      </w:r>
      <w:r>
        <w:rPr>
          <w:rFonts w:hint="eastAsia" w:ascii="宋体" w:hAnsi="宋体" w:cs="Arial"/>
          <w:sz w:val="24"/>
          <w:lang w:val="en-US" w:eastAsia="zh-CN"/>
        </w:rPr>
        <w:t>9</w:t>
      </w:r>
      <w:r>
        <w:rPr>
          <w:rFonts w:ascii="宋体" w:hAnsi="宋体" w:cs="Arial"/>
          <w:sz w:val="24"/>
        </w:rPr>
        <w:t>时</w:t>
      </w:r>
      <w:r>
        <w:rPr>
          <w:rFonts w:hint="eastAsia" w:ascii="宋体" w:hAnsi="宋体" w:cs="Arial"/>
          <w:sz w:val="24"/>
          <w:lang w:val="en-US" w:eastAsia="zh-CN"/>
        </w:rPr>
        <w:t>3</w:t>
      </w:r>
      <w:bookmarkStart w:id="51" w:name="_GoBack"/>
      <w:bookmarkEnd w:id="51"/>
      <w:r>
        <w:rPr>
          <w:rFonts w:hint="eastAsia" w:ascii="宋体" w:hAnsi="宋体" w:cs="Arial"/>
          <w:sz w:val="24"/>
          <w:lang w:val="en-US" w:eastAsia="zh-CN"/>
        </w:rPr>
        <w:t>0</w:t>
      </w:r>
      <w:r>
        <w:rPr>
          <w:rFonts w:ascii="宋体" w:hAnsi="宋体" w:cs="Arial"/>
          <w:sz w:val="24"/>
        </w:rPr>
        <w:t>分</w:t>
      </w:r>
    </w:p>
    <w:p>
      <w:pPr>
        <w:pStyle w:val="3"/>
        <w:spacing w:line="440" w:lineRule="exact"/>
        <w:ind w:firstLine="482"/>
        <w:rPr>
          <w:rFonts w:hint="eastAsia" w:ascii="宋体" w:hAnsi="宋体" w:cs="Arial"/>
          <w:sz w:val="24"/>
        </w:rPr>
      </w:pPr>
      <w:r>
        <w:rPr>
          <w:rFonts w:ascii="宋体" w:hAnsi="宋体" w:cs="Arial"/>
          <w:sz w:val="24"/>
        </w:rPr>
        <w:t>地点：</w:t>
      </w:r>
      <w:r>
        <w:rPr>
          <w:rFonts w:hint="eastAsia" w:ascii="宋体" w:hAnsi="宋体" w:cs="Arial"/>
          <w:sz w:val="24"/>
        </w:rPr>
        <w:t>浙江省杭州市西湖区古墩路673号瑞博国际A座15楼会议室</w:t>
      </w:r>
    </w:p>
    <w:p>
      <w:pPr>
        <w:pStyle w:val="3"/>
        <w:spacing w:line="440" w:lineRule="exact"/>
        <w:ind w:firstLine="482"/>
        <w:rPr>
          <w:rFonts w:ascii="宋体" w:hAnsi="宋体" w:cs="Arial"/>
          <w:b/>
          <w:sz w:val="24"/>
          <w:szCs w:val="24"/>
        </w:rPr>
      </w:pPr>
      <w:r>
        <w:rPr>
          <w:rFonts w:ascii="宋体" w:hAnsi="宋体" w:cs="Arial"/>
          <w:b/>
          <w:sz w:val="24"/>
          <w:szCs w:val="24"/>
        </w:rPr>
        <w:t>8、联系方式：</w:t>
      </w:r>
    </w:p>
    <w:p>
      <w:pPr>
        <w:pStyle w:val="3"/>
        <w:spacing w:line="440" w:lineRule="exact"/>
        <w:ind w:firstLine="482"/>
        <w:rPr>
          <w:rFonts w:hint="eastAsia" w:ascii="宋体" w:hAnsi="宋体" w:cs="Arial"/>
          <w:sz w:val="24"/>
          <w:szCs w:val="24"/>
        </w:rPr>
      </w:pPr>
      <w:r>
        <w:rPr>
          <w:rFonts w:ascii="宋体" w:hAnsi="宋体" w:cs="Arial"/>
          <w:sz w:val="24"/>
          <w:szCs w:val="24"/>
        </w:rPr>
        <w:t>浙江省隧道工程集团有限公司</w:t>
      </w:r>
    </w:p>
    <w:p>
      <w:pPr>
        <w:pStyle w:val="3"/>
        <w:spacing w:line="440" w:lineRule="exact"/>
        <w:ind w:firstLine="482"/>
        <w:rPr>
          <w:rFonts w:ascii="宋体" w:hAnsi="宋体" w:cs="Arial"/>
          <w:sz w:val="24"/>
          <w:szCs w:val="24"/>
        </w:rPr>
      </w:pPr>
      <w:r>
        <w:rPr>
          <w:rFonts w:ascii="宋体" w:hAnsi="宋体" w:cs="Arial"/>
          <w:sz w:val="24"/>
          <w:szCs w:val="24"/>
        </w:rPr>
        <w:t>联系人：</w:t>
      </w:r>
      <w:r>
        <w:rPr>
          <w:rFonts w:hint="eastAsia" w:ascii="宋体" w:hAnsi="宋体" w:cs="Arial"/>
          <w:sz w:val="24"/>
          <w:szCs w:val="24"/>
          <w:lang w:val="en-US" w:eastAsia="zh-CN"/>
        </w:rPr>
        <w:t>史颖凯</w:t>
      </w:r>
      <w:r>
        <w:rPr>
          <w:rFonts w:ascii="宋体" w:hAnsi="宋体" w:cs="Arial"/>
          <w:sz w:val="24"/>
          <w:szCs w:val="24"/>
        </w:rPr>
        <w:t xml:space="preserve"> </w:t>
      </w:r>
    </w:p>
    <w:p>
      <w:pPr>
        <w:pStyle w:val="3"/>
        <w:spacing w:line="440" w:lineRule="exact"/>
        <w:ind w:firstLine="482"/>
        <w:rPr>
          <w:rFonts w:ascii="宋体" w:hAnsi="宋体" w:cs="Arial"/>
          <w:bCs/>
          <w:snapToGrid w:val="0"/>
          <w:kern w:val="28"/>
          <w:sz w:val="24"/>
          <w:szCs w:val="24"/>
        </w:rPr>
      </w:pPr>
      <w:r>
        <w:rPr>
          <w:rFonts w:ascii="宋体" w:hAnsi="宋体" w:cs="Arial"/>
          <w:bCs/>
          <w:sz w:val="24"/>
        </w:rPr>
        <w:t>联系电话：</w:t>
      </w:r>
      <w:r>
        <w:rPr>
          <w:rFonts w:hint="eastAsia" w:ascii="宋体" w:hAnsi="宋体" w:cs="Arial"/>
          <w:sz w:val="24"/>
          <w:szCs w:val="24"/>
          <w:lang w:val="en-US" w:eastAsia="zh-CN"/>
        </w:rPr>
        <w:t xml:space="preserve">18868808702  </w:t>
      </w:r>
      <w:r>
        <w:rPr>
          <w:rFonts w:ascii="宋体" w:hAnsi="宋体" w:cs="Arial"/>
          <w:bCs/>
          <w:sz w:val="24"/>
        </w:rPr>
        <w:t>传真：</w:t>
      </w:r>
      <w:r>
        <w:rPr>
          <w:rFonts w:ascii="宋体" w:hAnsi="宋体" w:cs="Arial"/>
          <w:sz w:val="24"/>
          <w:szCs w:val="24"/>
        </w:rPr>
        <w:t>0571-</w:t>
      </w:r>
      <w:r>
        <w:rPr>
          <w:rFonts w:ascii="宋体" w:hAnsi="宋体" w:cs="Arial"/>
          <w:bCs/>
          <w:snapToGrid w:val="0"/>
          <w:kern w:val="28"/>
          <w:sz w:val="24"/>
          <w:szCs w:val="24"/>
        </w:rPr>
        <w:t>8138</w:t>
      </w:r>
      <w:r>
        <w:rPr>
          <w:rFonts w:hint="eastAsia" w:ascii="宋体" w:hAnsi="宋体" w:cs="Arial"/>
          <w:bCs/>
          <w:snapToGrid w:val="0"/>
          <w:kern w:val="28"/>
          <w:sz w:val="24"/>
          <w:szCs w:val="24"/>
        </w:rPr>
        <w:t>9187</w:t>
      </w:r>
    </w:p>
    <w:p>
      <w:pPr>
        <w:pStyle w:val="3"/>
        <w:spacing w:line="440" w:lineRule="exact"/>
        <w:ind w:firstLine="482"/>
        <w:rPr>
          <w:rFonts w:ascii="宋体" w:hAnsi="宋体" w:cs="Arial"/>
          <w:bCs/>
          <w:sz w:val="24"/>
          <w:szCs w:val="24"/>
        </w:rPr>
      </w:pPr>
    </w:p>
    <w:p>
      <w:pPr>
        <w:pStyle w:val="3"/>
        <w:spacing w:line="440" w:lineRule="exact"/>
        <w:ind w:firstLine="482"/>
        <w:rPr>
          <w:rFonts w:hint="eastAsia" w:ascii="宋体" w:hAnsi="宋体" w:cs="Arial"/>
          <w:sz w:val="24"/>
          <w:szCs w:val="24"/>
        </w:rPr>
      </w:pPr>
    </w:p>
    <w:p>
      <w:pPr>
        <w:spacing w:line="440" w:lineRule="exact"/>
        <w:ind w:firstLine="204" w:firstLineChars="85"/>
        <w:jc w:val="right"/>
        <w:rPr>
          <w:rFonts w:ascii="宋体" w:hAnsi="宋体" w:cs="Arial"/>
          <w:sz w:val="24"/>
        </w:rPr>
      </w:pPr>
      <w:r>
        <w:rPr>
          <w:rFonts w:ascii="宋体" w:hAnsi="宋体" w:cs="Arial"/>
          <w:sz w:val="24"/>
        </w:rPr>
        <w:t xml:space="preserve">  </w:t>
      </w:r>
      <w:r>
        <w:rPr>
          <w:rFonts w:hint="eastAsia" w:ascii="宋体" w:hAnsi="宋体" w:cs="Arial"/>
          <w:sz w:val="24"/>
        </w:rPr>
        <w:t xml:space="preserve">                                         </w:t>
      </w:r>
      <w:r>
        <w:rPr>
          <w:rFonts w:ascii="宋体" w:hAnsi="宋体" w:cs="Arial"/>
          <w:sz w:val="24"/>
        </w:rPr>
        <w:t>浙江省隧道工程集团有限公司</w:t>
      </w:r>
    </w:p>
    <w:p>
      <w:pPr>
        <w:spacing w:line="440" w:lineRule="exact"/>
        <w:ind w:firstLine="200"/>
        <w:jc w:val="right"/>
        <w:rPr>
          <w:rFonts w:ascii="宋体" w:hAnsi="宋体" w:cs="Arial"/>
          <w:sz w:val="24"/>
        </w:rPr>
      </w:pPr>
      <w:r>
        <w:rPr>
          <w:rFonts w:ascii="宋体" w:hAnsi="宋体" w:cs="Arial"/>
          <w:sz w:val="24"/>
        </w:rPr>
        <w:t xml:space="preserve">                                              </w:t>
      </w:r>
      <w:r>
        <w:rPr>
          <w:rFonts w:hint="eastAsia" w:ascii="宋体" w:hAnsi="宋体" w:cs="Arial"/>
          <w:sz w:val="24"/>
          <w:lang w:val="en-US" w:eastAsia="zh-CN"/>
        </w:rPr>
        <w:t>2024</w:t>
      </w:r>
      <w:r>
        <w:rPr>
          <w:rFonts w:ascii="宋体" w:hAnsi="宋体" w:cs="Arial"/>
          <w:sz w:val="24"/>
        </w:rPr>
        <w:t>年</w:t>
      </w:r>
      <w:r>
        <w:rPr>
          <w:rFonts w:hint="eastAsia" w:ascii="宋体" w:hAnsi="宋体" w:cs="Arial"/>
          <w:sz w:val="24"/>
        </w:rPr>
        <w:t xml:space="preserve"> </w:t>
      </w:r>
      <w:r>
        <w:rPr>
          <w:rFonts w:hint="eastAsia" w:ascii="宋体" w:hAnsi="宋体" w:cs="Arial"/>
          <w:sz w:val="24"/>
          <w:lang w:val="en-US" w:eastAsia="zh-CN"/>
        </w:rPr>
        <w:t>1</w:t>
      </w:r>
      <w:r>
        <w:rPr>
          <w:rFonts w:ascii="宋体" w:hAnsi="宋体" w:cs="Arial"/>
          <w:sz w:val="24"/>
        </w:rPr>
        <w:t>月</w:t>
      </w:r>
      <w:r>
        <w:rPr>
          <w:rFonts w:hint="eastAsia" w:ascii="宋体" w:hAnsi="宋体" w:cs="Arial"/>
          <w:sz w:val="24"/>
        </w:rPr>
        <w:t xml:space="preserve"> </w:t>
      </w:r>
      <w:r>
        <w:rPr>
          <w:rFonts w:hint="eastAsia" w:ascii="宋体" w:hAnsi="宋体" w:cs="Arial"/>
          <w:sz w:val="24"/>
          <w:lang w:val="en-US" w:eastAsia="zh-CN"/>
        </w:rPr>
        <w:t>25</w:t>
      </w:r>
      <w:r>
        <w:rPr>
          <w:rFonts w:ascii="宋体" w:hAnsi="宋体" w:cs="Arial"/>
          <w:sz w:val="24"/>
        </w:rPr>
        <w:t xml:space="preserve"> 日</w:t>
      </w:r>
    </w:p>
    <w:p>
      <w:pPr>
        <w:spacing w:line="500" w:lineRule="exact"/>
        <w:jc w:val="right"/>
        <w:rPr>
          <w:rFonts w:hint="eastAsia" w:ascii="宋体" w:hAnsi="宋体" w:cs="Arial"/>
          <w:b/>
          <w:bCs/>
          <w:sz w:val="32"/>
          <w:szCs w:val="32"/>
        </w:rPr>
      </w:pPr>
    </w:p>
    <w:p>
      <w:pPr>
        <w:spacing w:line="380" w:lineRule="exact"/>
        <w:jc w:val="center"/>
        <w:rPr>
          <w:rFonts w:ascii="宋体" w:hAnsi="宋体" w:cs="Arial"/>
          <w:b/>
          <w:bCs/>
          <w:sz w:val="48"/>
        </w:rPr>
      </w:pPr>
      <w:r>
        <w:rPr>
          <w:rFonts w:ascii="宋体" w:hAnsi="宋体" w:cs="Arial"/>
          <w:b/>
          <w:bCs/>
          <w:sz w:val="48"/>
        </w:rPr>
        <w:br w:type="page"/>
      </w:r>
    </w:p>
    <w:p>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2"/>
        <w:gridCol w:w="79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pct"/>
            <w:tcBorders>
              <w:top w:val="single" w:color="000000" w:sz="4" w:space="0"/>
              <w:bottom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noWrap w:val="0"/>
            <w:vAlign w:val="center"/>
          </w:tcPr>
          <w:p>
            <w:pPr>
              <w:tabs>
                <w:tab w:val="left" w:pos="3780"/>
              </w:tabs>
              <w:snapToGrid w:val="0"/>
              <w:spacing w:before="120" w:beforeLines="50" w:line="360" w:lineRule="auto"/>
              <w:jc w:val="center"/>
              <w:rPr>
                <w:rFonts w:ascii="宋体" w:hAnsi="宋体" w:cs="Arial"/>
                <w:b/>
                <w:sz w:val="24"/>
              </w:rPr>
            </w:pPr>
            <w:r>
              <w:rPr>
                <w:rFonts w:ascii="宋体" w:hAnsi="宋体" w:cs="Arial"/>
                <w:b/>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06" w:hRule="atLeast"/>
        </w:trPr>
        <w:tc>
          <w:tcPr>
            <w:tcW w:w="461" w:type="pct"/>
            <w:tcBorders>
              <w:top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noWrap w:val="0"/>
            <w:vAlign w:val="center"/>
          </w:tcPr>
          <w:p>
            <w:pPr>
              <w:pStyle w:val="6"/>
              <w:snapToGrid w:val="0"/>
              <w:spacing w:before="120" w:beforeLines="50" w:line="360" w:lineRule="auto"/>
              <w:rPr>
                <w:rFonts w:hAnsi="宋体" w:cs="Arial"/>
                <w:b/>
                <w:sz w:val="24"/>
              </w:rPr>
            </w:pPr>
            <w:r>
              <w:rPr>
                <w:rFonts w:hAnsi="宋体" w:cs="Arial"/>
                <w:b/>
                <w:sz w:val="24"/>
              </w:rPr>
              <w:t>项目说明：</w:t>
            </w:r>
          </w:p>
          <w:p>
            <w:pPr>
              <w:pStyle w:val="6"/>
              <w:snapToGrid w:val="0"/>
              <w:spacing w:before="120" w:beforeLines="50" w:line="360" w:lineRule="auto"/>
              <w:ind w:firstLine="480" w:firstLineChars="200"/>
              <w:rPr>
                <w:rFonts w:hint="default" w:hAnsi="宋体" w:cs="Arial" w:eastAsiaTheme="minorEastAsia"/>
                <w:sz w:val="24"/>
                <w:lang w:val="en-US" w:eastAsia="zh-CN"/>
              </w:rPr>
            </w:pPr>
            <w:r>
              <w:rPr>
                <w:rFonts w:hAnsi="宋体" w:cs="Arial"/>
                <w:b/>
                <w:sz w:val="24"/>
              </w:rPr>
              <w:t>一、项目名称</w:t>
            </w:r>
            <w:r>
              <w:rPr>
                <w:rFonts w:hAnsi="宋体" w:cs="Arial"/>
                <w:sz w:val="24"/>
              </w:rPr>
              <w:t>：</w:t>
            </w:r>
            <w:r>
              <w:rPr>
                <w:rFonts w:hint="eastAsia" w:ascii="宋体" w:hAnsi="宋体" w:cs="Arial"/>
                <w:sz w:val="24"/>
                <w:lang w:val="en-US" w:eastAsia="zh-CN"/>
              </w:rPr>
              <w:t>温州市瓯江引水工程三标段EPC工程总承包</w:t>
            </w:r>
            <w:r>
              <w:rPr>
                <w:rFonts w:hint="eastAsia" w:ascii="宋体" w:hAnsi="宋体" w:cs="Arial"/>
                <w:sz w:val="24"/>
              </w:rPr>
              <w:t>项目</w:t>
            </w:r>
          </w:p>
          <w:p>
            <w:pPr>
              <w:pStyle w:val="6"/>
              <w:snapToGrid w:val="0"/>
              <w:spacing w:before="120" w:beforeLines="50" w:line="360" w:lineRule="auto"/>
              <w:ind w:firstLine="480" w:firstLineChars="200"/>
              <w:rPr>
                <w:rFonts w:hint="default" w:hAnsi="宋体" w:cs="Arial" w:eastAsiaTheme="minorEastAsia"/>
                <w:sz w:val="24"/>
                <w:lang w:val="en-US" w:eastAsia="zh-CN"/>
              </w:rPr>
            </w:pPr>
            <w:r>
              <w:rPr>
                <w:rFonts w:hAnsi="宋体" w:cs="Arial"/>
                <w:b/>
                <w:sz w:val="24"/>
              </w:rPr>
              <w:t>二、实施地点：</w:t>
            </w:r>
            <w:r>
              <w:rPr>
                <w:rFonts w:hint="eastAsia" w:hAnsi="宋体" w:cs="Arial"/>
                <w:sz w:val="24"/>
                <w:lang w:val="en-US" w:eastAsia="zh-CN"/>
              </w:rPr>
              <w:t>浙江省温州市</w:t>
            </w:r>
          </w:p>
          <w:p>
            <w:pPr>
              <w:pStyle w:val="3"/>
              <w:snapToGrid w:val="0"/>
              <w:spacing w:before="120" w:beforeLines="50" w:line="360" w:lineRule="auto"/>
              <w:ind w:firstLine="472"/>
              <w:rPr>
                <w:rFonts w:hint="eastAsia"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“采购需求和服务要求”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before="120" w:beforeLines="50" w:line="360" w:lineRule="auto"/>
              <w:rPr>
                <w:rFonts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w:t>
            </w:r>
            <w:r>
              <w:rPr>
                <w:rFonts w:hint="eastAsia" w:hAnsi="宋体" w:cs="宋体"/>
                <w:sz w:val="24"/>
                <w:szCs w:val="24"/>
                <w:lang w:val="en-US" w:eastAsia="zh-CN"/>
              </w:rPr>
              <w:t>钢筋混凝土管节</w:t>
            </w:r>
            <w:r>
              <w:rPr>
                <w:rFonts w:hint="eastAsia" w:hAnsi="宋体" w:cs="宋体"/>
                <w:sz w:val="24"/>
                <w:szCs w:val="24"/>
              </w:rPr>
              <w:t>采购</w:t>
            </w:r>
            <w:r>
              <w:rPr>
                <w:rFonts w:hAnsi="宋体" w:cs="Arial"/>
                <w:sz w:val="24"/>
              </w:rPr>
              <w:t>合同</w:t>
            </w:r>
            <w:r>
              <w:rPr>
                <w:rFonts w:hAnsi="宋体" w:cs="Arial"/>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before="120"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int="eastAsia" w:hAnsi="宋体" w:cs="Arial"/>
                <w:sz w:val="24"/>
              </w:rPr>
              <w:t>招标人</w:t>
            </w:r>
            <w:r>
              <w:rPr>
                <w:rFonts w:hAnsi="宋体" w:cs="Arial"/>
                <w:sz w:val="24"/>
              </w:rPr>
              <w:t>认为必要，可延长至总计最长不超过120天。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int="eastAsia" w:hAnsi="宋体" w:eastAsia="宋体" w:cs="Arial"/>
                <w:sz w:val="24"/>
                <w:lang w:val="en-US" w:eastAsia="zh-CN"/>
              </w:rPr>
            </w:pPr>
            <w:r>
              <w:rPr>
                <w:rFonts w:hAnsi="宋体" w:cs="Arial"/>
                <w:b/>
                <w:sz w:val="24"/>
              </w:rPr>
              <w:t>投标保证金：</w:t>
            </w:r>
            <w:r>
              <w:rPr>
                <w:rFonts w:hint="eastAsia" w:hAnsi="宋体" w:cs="Arial"/>
                <w:sz w:val="24"/>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int="eastAsia" w:hAnsi="宋体" w:cs="Arial"/>
                <w:sz w:val="24"/>
                <w:szCs w:val="24"/>
              </w:rPr>
              <w:t>柒</w:t>
            </w:r>
            <w:r>
              <w:rPr>
                <w:rFonts w:hAnsi="宋体" w:cs="Arial"/>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9"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8"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7"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noWrap w:val="0"/>
            <w:vAlign w:val="center"/>
          </w:tcPr>
          <w:p>
            <w:pPr>
              <w:pStyle w:val="3"/>
              <w:snapToGrid w:val="0"/>
              <w:spacing w:before="120"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不组织或组织（由项目部自行决定）。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7"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noWrap w:val="0"/>
            <w:vAlign w:val="center"/>
          </w:tcPr>
          <w:p>
            <w:pPr>
              <w:pStyle w:val="3"/>
              <w:snapToGrid w:val="0"/>
              <w:spacing w:before="120"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cs="Arial"/>
                <w:color w:val="auto"/>
                <w:sz w:val="24"/>
                <w:lang w:val="zh-CN"/>
              </w:rPr>
              <w:t>本次采购项目最高限价为</w:t>
            </w:r>
            <w:r>
              <w:rPr>
                <w:rFonts w:hint="eastAsia" w:ascii="宋体" w:hAnsi="宋体" w:cs="Arial"/>
                <w:color w:val="auto"/>
                <w:sz w:val="24"/>
                <w:u w:val="single"/>
                <w:lang w:val="en-US" w:eastAsia="zh-CN"/>
              </w:rPr>
              <w:t>DN4000钢筋混凝土管节12000</w:t>
            </w:r>
            <w:r>
              <w:rPr>
                <w:rFonts w:hint="eastAsia" w:ascii="宋体" w:hAnsi="宋体" w:cs="Arial"/>
                <w:color w:val="auto"/>
                <w:sz w:val="24"/>
                <w:u w:val="single"/>
                <w:lang w:val="zh-CN"/>
              </w:rPr>
              <w:t>元/</w:t>
            </w:r>
            <w:r>
              <w:rPr>
                <w:rFonts w:hint="eastAsia" w:ascii="宋体" w:hAnsi="宋体" w:cs="Arial"/>
                <w:color w:val="auto"/>
                <w:sz w:val="24"/>
                <w:u w:val="single"/>
                <w:lang w:val="en-US" w:eastAsia="zh-CN"/>
              </w:rPr>
              <w:t>m</w:t>
            </w:r>
            <w:r>
              <w:rPr>
                <w:rFonts w:hint="eastAsia" w:ascii="宋体" w:hAnsi="宋体" w:cs="Arial"/>
                <w:color w:val="auto"/>
                <w:sz w:val="24"/>
                <w:lang w:val="zh-CN"/>
              </w:rPr>
              <w:t>，</w:t>
            </w:r>
            <w:r>
              <w:rPr>
                <w:rFonts w:hint="eastAsia" w:ascii="宋体" w:hAnsi="宋体" w:cs="Arial"/>
                <w:sz w:val="24"/>
                <w:lang w:val="zh-CN"/>
              </w:rPr>
              <w:t xml:space="preserve">超过最高限价的投标按无效标处理。  </w:t>
            </w:r>
          </w:p>
        </w:tc>
      </w:tr>
    </w:tbl>
    <w:p>
      <w:pPr>
        <w:spacing w:line="460" w:lineRule="exact"/>
        <w:jc w:val="center"/>
        <w:rPr>
          <w:rFonts w:ascii="宋体" w:hAnsi="宋体" w:cs="Arial"/>
          <w:b/>
          <w:sz w:val="32"/>
          <w:szCs w:val="32"/>
        </w:rPr>
      </w:pPr>
      <w:bookmarkStart w:id="1" w:name="_Hlt74649545"/>
      <w:bookmarkEnd w:id="1"/>
      <w:bookmarkStart w:id="2" w:name="_Hlt74729822"/>
      <w:bookmarkEnd w:id="2"/>
      <w:bookmarkStart w:id="3" w:name="_Toc91899871"/>
      <w:r>
        <w:rPr>
          <w:rFonts w:ascii="宋体" w:hAnsi="宋体" w:cs="Arial"/>
          <w:b/>
          <w:sz w:val="32"/>
          <w:szCs w:val="32"/>
        </w:rPr>
        <w:br w:type="page"/>
      </w:r>
    </w:p>
    <w:p>
      <w:pPr>
        <w:spacing w:line="460" w:lineRule="exact"/>
        <w:jc w:val="center"/>
        <w:rPr>
          <w:rFonts w:ascii="宋体" w:hAnsi="宋体" w:cs="Arial"/>
          <w:b/>
          <w:sz w:val="32"/>
          <w:szCs w:val="32"/>
        </w:rPr>
      </w:pPr>
      <w:r>
        <w:rPr>
          <w:rFonts w:ascii="宋体" w:hAnsi="宋体" w:cs="Arial"/>
          <w:b/>
          <w:sz w:val="32"/>
          <w:szCs w:val="32"/>
        </w:rPr>
        <w:t>一、总则</w:t>
      </w:r>
      <w:bookmarkEnd w:id="3"/>
    </w:p>
    <w:p>
      <w:pPr>
        <w:pStyle w:val="6"/>
        <w:spacing w:line="460" w:lineRule="exact"/>
        <w:rPr>
          <w:rFonts w:hAnsi="宋体" w:cs="Arial"/>
          <w:b/>
          <w:sz w:val="24"/>
          <w:szCs w:val="24"/>
        </w:rPr>
      </w:pPr>
      <w:bookmarkStart w:id="4" w:name="_Hlt74730295"/>
      <w:bookmarkEnd w:id="4"/>
      <w:bookmarkStart w:id="5" w:name="_Hlt74714665"/>
      <w:bookmarkEnd w:id="5"/>
      <w:bookmarkStart w:id="6" w:name="_Toc91899872"/>
      <w:bookmarkStart w:id="7" w:name="_Hlt74730112"/>
      <w:bookmarkStart w:id="8" w:name="_Hlt74730208"/>
      <w:r>
        <w:rPr>
          <w:rFonts w:hAnsi="宋体" w:cs="Arial"/>
          <w:b/>
          <w:sz w:val="24"/>
          <w:szCs w:val="24"/>
        </w:rPr>
        <w:t>1．项目说明</w:t>
      </w:r>
      <w:bookmarkEnd w:id="6"/>
    </w:p>
    <w:p>
      <w:pPr>
        <w:pStyle w:val="10"/>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hint="eastAsia" w:ascii="宋体" w:hAnsi="宋体" w:cs="Arial"/>
          <w:szCs w:val="24"/>
          <w:lang w:eastAsia="zh-CN"/>
        </w:rPr>
        <w:t>（</w:t>
      </w:r>
      <w:r>
        <w:rPr>
          <w:rFonts w:ascii="宋体" w:hAnsi="宋体" w:cs="Arial"/>
          <w:szCs w:val="24"/>
        </w:rPr>
        <w:t>以下称“前附表”)第1项所述。</w:t>
      </w:r>
    </w:p>
    <w:p>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pPr>
        <w:tabs>
          <w:tab w:val="left" w:pos="3780"/>
        </w:tabs>
        <w:spacing w:line="460" w:lineRule="exact"/>
        <w:ind w:firstLine="480" w:firstLineChars="200"/>
        <w:rPr>
          <w:rFonts w:hint="eastAsia"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pPr>
        <w:tabs>
          <w:tab w:val="left" w:pos="3780"/>
        </w:tabs>
        <w:spacing w:line="460" w:lineRule="exact"/>
        <w:ind w:firstLine="480" w:firstLineChars="200"/>
        <w:rPr>
          <w:rFonts w:hint="eastAsia"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投标人一旦参与本次投标活动，即被视为接受了本招标文件的所有内容，如有任何异议，均已在答疑截止时间前提出。</w:t>
      </w:r>
    </w:p>
    <w:p>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pPr>
        <w:pStyle w:val="6"/>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pPr>
        <w:tabs>
          <w:tab w:val="left" w:pos="3780"/>
        </w:tabs>
        <w:spacing w:line="460" w:lineRule="exact"/>
        <w:ind w:firstLine="480" w:firstLineChars="200"/>
        <w:rPr>
          <w:rFonts w:ascii="宋体" w:hAnsi="宋体" w:cs="Arial"/>
          <w:sz w:val="24"/>
        </w:rPr>
      </w:pPr>
      <w:r>
        <w:rPr>
          <w:rFonts w:hint="eastAsia" w:ascii="宋体" w:hAnsi="宋体" w:cs="Arial"/>
          <w:sz w:val="24"/>
        </w:rPr>
        <w:t>邀请</w:t>
      </w:r>
      <w:r>
        <w:rPr>
          <w:rFonts w:ascii="宋体" w:hAnsi="宋体" w:cs="Arial"/>
          <w:sz w:val="24"/>
        </w:rPr>
        <w:t>招标。</w:t>
      </w:r>
    </w:p>
    <w:p>
      <w:pPr>
        <w:pStyle w:val="6"/>
        <w:spacing w:line="460" w:lineRule="exact"/>
        <w:rPr>
          <w:rFonts w:hAnsi="宋体" w:cs="Arial"/>
          <w:b/>
          <w:sz w:val="24"/>
          <w:szCs w:val="24"/>
        </w:rPr>
      </w:pPr>
      <w:bookmarkStart w:id="10" w:name="_Toc91899876"/>
      <w:bookmarkStart w:id="11"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pPr>
        <w:pStyle w:val="6"/>
        <w:spacing w:line="460" w:lineRule="exact"/>
        <w:ind w:firstLine="480" w:firstLineChars="200"/>
        <w:rPr>
          <w:rFonts w:hint="eastAsia" w:hAnsi="宋体" w:cs="Arial"/>
          <w:sz w:val="24"/>
          <w:szCs w:val="24"/>
        </w:rPr>
      </w:pPr>
      <w:bookmarkStart w:id="12" w:name="_Toc91899877"/>
      <w:bookmarkStart w:id="13" w:name="_Hlt74730303"/>
      <w:r>
        <w:rPr>
          <w:rFonts w:hint="eastAsia" w:hAnsi="宋体" w:cs="Arial"/>
          <w:sz w:val="24"/>
          <w:szCs w:val="24"/>
          <w:lang w:eastAsia="zh-CN"/>
        </w:rPr>
        <w:t>具有相应的资质。</w:t>
      </w:r>
    </w:p>
    <w:p>
      <w:pPr>
        <w:pStyle w:val="6"/>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pPr>
        <w:autoSpaceDE w:val="0"/>
        <w:autoSpaceDN w:val="0"/>
        <w:adjustRightInd w:val="0"/>
        <w:spacing w:line="460" w:lineRule="exact"/>
        <w:ind w:firstLine="523" w:firstLineChars="218"/>
        <w:rPr>
          <w:rFonts w:ascii="宋体" w:hAnsi="宋体" w:cs="Arial"/>
          <w:sz w:val="24"/>
          <w:lang w:val="zh-CN"/>
        </w:rPr>
      </w:pPr>
    </w:p>
    <w:p>
      <w:pPr>
        <w:spacing w:line="460" w:lineRule="exact"/>
        <w:jc w:val="center"/>
        <w:rPr>
          <w:rFonts w:ascii="宋体" w:hAnsi="宋体" w:cs="Arial"/>
          <w:b/>
          <w:sz w:val="32"/>
        </w:rPr>
      </w:pPr>
      <w:bookmarkStart w:id="14" w:name="_Hlt75236290"/>
      <w:bookmarkEnd w:id="14"/>
      <w:bookmarkStart w:id="15" w:name="_Hlt68072990"/>
      <w:bookmarkEnd w:id="15"/>
      <w:bookmarkStart w:id="16" w:name="_Hlt74707468"/>
      <w:bookmarkEnd w:id="16"/>
      <w:bookmarkStart w:id="17" w:name="_Hlt68057669"/>
      <w:bookmarkEnd w:id="17"/>
      <w:bookmarkStart w:id="18" w:name="_Hlt74729768"/>
      <w:bookmarkEnd w:id="18"/>
      <w:bookmarkStart w:id="19" w:name="_Toc91899879"/>
      <w:r>
        <w:rPr>
          <w:rFonts w:ascii="宋体" w:hAnsi="宋体" w:cs="Arial"/>
          <w:b/>
          <w:sz w:val="32"/>
        </w:rPr>
        <w:t>二、招标文件</w:t>
      </w:r>
      <w:bookmarkEnd w:id="19"/>
    </w:p>
    <w:p>
      <w:pPr>
        <w:pStyle w:val="6"/>
        <w:spacing w:line="460" w:lineRule="exact"/>
        <w:rPr>
          <w:rFonts w:hAnsi="宋体" w:cs="Arial"/>
          <w:b/>
          <w:sz w:val="24"/>
          <w:szCs w:val="24"/>
        </w:rPr>
      </w:pPr>
      <w:bookmarkStart w:id="20" w:name="_Toc91899880"/>
      <w:bookmarkStart w:id="21" w:name="_Hlt74730307"/>
      <w:r>
        <w:rPr>
          <w:rFonts w:hAnsi="宋体" w:cs="Arial"/>
          <w:b/>
          <w:sz w:val="24"/>
          <w:szCs w:val="24"/>
        </w:rPr>
        <w:t>5．</w:t>
      </w:r>
      <w:bookmarkEnd w:id="20"/>
      <w:bookmarkEnd w:id="21"/>
      <w:r>
        <w:rPr>
          <w:rFonts w:hAnsi="宋体" w:cs="Arial"/>
          <w:b/>
          <w:sz w:val="24"/>
          <w:szCs w:val="24"/>
        </w:rPr>
        <w:t>招标文件的构成</w:t>
      </w:r>
    </w:p>
    <w:p>
      <w:pPr>
        <w:pStyle w:val="6"/>
        <w:spacing w:line="460" w:lineRule="exact"/>
        <w:ind w:firstLine="480" w:firstLineChars="200"/>
        <w:rPr>
          <w:rFonts w:hAnsi="宋体" w:cs="Arial"/>
          <w:sz w:val="24"/>
          <w:szCs w:val="24"/>
        </w:rPr>
      </w:pPr>
      <w:r>
        <w:rPr>
          <w:rFonts w:hAnsi="宋体" w:cs="Arial"/>
          <w:sz w:val="24"/>
          <w:szCs w:val="24"/>
        </w:rPr>
        <w:t>5.1 招标文件包括下列文件及附件</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pPr>
        <w:pStyle w:val="6"/>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pPr>
        <w:pStyle w:val="6"/>
        <w:spacing w:line="460" w:lineRule="exact"/>
        <w:rPr>
          <w:rFonts w:hAnsi="宋体" w:cs="Arial"/>
          <w:b/>
          <w:sz w:val="24"/>
          <w:szCs w:val="24"/>
        </w:rPr>
      </w:pPr>
      <w:r>
        <w:rPr>
          <w:rFonts w:hAnsi="宋体" w:cs="Arial"/>
          <w:b/>
          <w:sz w:val="24"/>
          <w:szCs w:val="24"/>
        </w:rPr>
        <w:t>6. 招标文件的解释</w:t>
      </w:r>
    </w:p>
    <w:p>
      <w:pPr>
        <w:pStyle w:val="10"/>
        <w:spacing w:before="0" w:line="460" w:lineRule="exact"/>
        <w:ind w:firstLine="480"/>
        <w:rPr>
          <w:rFonts w:hint="eastAsia"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pPr>
        <w:pStyle w:val="10"/>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招标文件发出之日起7天内</w:t>
      </w:r>
      <w:r>
        <w:rPr>
          <w:rFonts w:ascii="宋体" w:hAnsi="宋体" w:cs="Arial"/>
          <w:kern w:val="0"/>
          <w:szCs w:val="24"/>
        </w:rPr>
        <w:t>以书面形式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将以书面解答形式通知所有</w:t>
      </w:r>
      <w:r>
        <w:rPr>
          <w:rFonts w:hint="eastAsia" w:ascii="宋体" w:hAnsi="宋体" w:cs="Arial"/>
          <w:kern w:val="0"/>
          <w:szCs w:val="24"/>
        </w:rPr>
        <w:t>投标人</w:t>
      </w:r>
      <w:r>
        <w:rPr>
          <w:rFonts w:ascii="宋体" w:hAnsi="宋体" w:cs="Arial"/>
          <w:kern w:val="0"/>
          <w:szCs w:val="24"/>
        </w:rPr>
        <w:t>或组织标前会答疑。</w:t>
      </w:r>
    </w:p>
    <w:p>
      <w:pPr>
        <w:pStyle w:val="10"/>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pPr>
        <w:pStyle w:val="6"/>
        <w:spacing w:line="460" w:lineRule="exact"/>
        <w:rPr>
          <w:rFonts w:hAnsi="宋体" w:cs="Arial"/>
          <w:b/>
          <w:sz w:val="24"/>
          <w:szCs w:val="24"/>
        </w:rPr>
      </w:pPr>
      <w:r>
        <w:rPr>
          <w:rFonts w:hAnsi="宋体" w:cs="Arial"/>
          <w:b/>
          <w:sz w:val="24"/>
          <w:szCs w:val="24"/>
        </w:rPr>
        <w:t>7. 招标文件的修改</w:t>
      </w:r>
    </w:p>
    <w:p>
      <w:pPr>
        <w:pStyle w:val="10"/>
        <w:spacing w:before="0" w:line="460" w:lineRule="exact"/>
        <w:ind w:firstLine="480"/>
        <w:rPr>
          <w:rFonts w:ascii="宋体" w:hAnsi="宋体" w:cs="Arial"/>
        </w:rPr>
      </w:pPr>
      <w:r>
        <w:rPr>
          <w:rFonts w:ascii="宋体" w:hAnsi="宋体" w:cs="Arial"/>
          <w:szCs w:val="24"/>
        </w:rPr>
        <w:t>7.1从招标文件发出至投标截止日期，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pPr>
        <w:pStyle w:val="10"/>
        <w:spacing w:before="0" w:line="460" w:lineRule="exact"/>
        <w:ind w:firstLine="480"/>
        <w:rPr>
          <w:rFonts w:ascii="宋体" w:hAnsi="宋体" w:cs="Arial"/>
          <w:szCs w:val="24"/>
        </w:rPr>
      </w:pPr>
      <w:r>
        <w:rPr>
          <w:rFonts w:ascii="宋体" w:hAnsi="宋体" w:cs="Arial"/>
          <w:szCs w:val="24"/>
        </w:rPr>
        <w:t>7.2若有必要，</w:t>
      </w:r>
      <w:r>
        <w:rPr>
          <w:rFonts w:hint="eastAsia" w:ascii="宋体" w:hAnsi="宋体" w:cs="Arial"/>
        </w:rPr>
        <w:t>招标人</w:t>
      </w:r>
      <w:r>
        <w:rPr>
          <w:rFonts w:ascii="宋体" w:hAnsi="宋体" w:cs="Arial"/>
          <w:szCs w:val="24"/>
        </w:rPr>
        <w:t>将酌情延迟递交投标文件的截止日期。</w:t>
      </w:r>
    </w:p>
    <w:p>
      <w:pPr>
        <w:pStyle w:val="6"/>
        <w:spacing w:line="460" w:lineRule="exact"/>
        <w:rPr>
          <w:rFonts w:hAnsi="宋体" w:cs="Arial"/>
          <w:b/>
          <w:sz w:val="24"/>
          <w:szCs w:val="24"/>
        </w:rPr>
      </w:pPr>
      <w:r>
        <w:rPr>
          <w:rFonts w:hAnsi="宋体" w:cs="Arial"/>
          <w:b/>
          <w:sz w:val="24"/>
          <w:szCs w:val="24"/>
        </w:rPr>
        <w:t>8. 投标报价</w:t>
      </w:r>
    </w:p>
    <w:p>
      <w:pPr>
        <w:pStyle w:val="6"/>
        <w:spacing w:line="460" w:lineRule="exact"/>
        <w:ind w:firstLine="480"/>
        <w:rPr>
          <w:rFonts w:hAnsi="宋体" w:cs="Arial"/>
          <w:sz w:val="24"/>
        </w:rPr>
      </w:pPr>
      <w:r>
        <w:rPr>
          <w:rFonts w:hAnsi="宋体" w:cs="Arial"/>
          <w:sz w:val="24"/>
        </w:rPr>
        <w:t>8.1 标的物</w:t>
      </w:r>
    </w:p>
    <w:p>
      <w:pPr>
        <w:autoSpaceDE w:val="0"/>
        <w:autoSpaceDN w:val="0"/>
        <w:adjustRightInd w:val="0"/>
        <w:spacing w:line="460" w:lineRule="exact"/>
        <w:ind w:firstLine="480"/>
        <w:rPr>
          <w:rFonts w:ascii="宋体" w:hAnsi="宋体" w:cs="Arial"/>
          <w:sz w:val="24"/>
          <w:lang w:val="zh-CN"/>
        </w:rPr>
      </w:pPr>
      <w:r>
        <w:rPr>
          <w:rFonts w:hint="eastAsia" w:ascii="宋体" w:hAnsi="宋体" w:cs="Arial"/>
          <w:sz w:val="24"/>
        </w:rPr>
        <w:t>浙江省隧道工程集团有限公司</w:t>
      </w:r>
      <w:r>
        <w:rPr>
          <w:rFonts w:hint="eastAsia" w:ascii="宋体" w:hAnsi="宋体" w:cs="Arial"/>
          <w:sz w:val="24"/>
          <w:lang w:val="en-US" w:eastAsia="zh-CN"/>
        </w:rPr>
        <w:t>温州市瓯江引水工程三标段EPC工程总承包</w:t>
      </w:r>
      <w:r>
        <w:rPr>
          <w:rFonts w:hint="eastAsia" w:ascii="宋体" w:hAnsi="宋体" w:cs="Arial"/>
          <w:sz w:val="24"/>
        </w:rPr>
        <w:t>项目项目</w:t>
      </w:r>
      <w:r>
        <w:rPr>
          <w:rFonts w:hint="eastAsia" w:ascii="宋体" w:hAnsi="宋体" w:cs="Arial"/>
          <w:sz w:val="24"/>
          <w:lang w:val="en-US" w:eastAsia="zh-CN"/>
        </w:rPr>
        <w:t>钢筋混凝土管节</w:t>
      </w:r>
      <w:r>
        <w:rPr>
          <w:rFonts w:hint="eastAsia" w:ascii="宋体" w:hAnsi="宋体" w:cs="Arial"/>
          <w:sz w:val="24"/>
        </w:rPr>
        <w:t>材料采购</w:t>
      </w:r>
      <w:r>
        <w:rPr>
          <w:rFonts w:ascii="宋体" w:hAnsi="宋体" w:cs="Arial"/>
          <w:sz w:val="24"/>
        </w:rPr>
        <w:t>。</w:t>
      </w:r>
    </w:p>
    <w:p>
      <w:pPr>
        <w:pStyle w:val="6"/>
        <w:spacing w:line="460" w:lineRule="exact"/>
        <w:ind w:firstLine="480"/>
        <w:rPr>
          <w:rFonts w:hAnsi="宋体" w:cs="Arial"/>
          <w:sz w:val="24"/>
        </w:rPr>
      </w:pPr>
      <w:r>
        <w:rPr>
          <w:rFonts w:hAnsi="宋体" w:cs="Arial"/>
          <w:sz w:val="24"/>
        </w:rPr>
        <w:t>8.2报价</w:t>
      </w:r>
    </w:p>
    <w:p>
      <w:pPr>
        <w:autoSpaceDE w:val="0"/>
        <w:autoSpaceDN w:val="0"/>
        <w:adjustRightInd w:val="0"/>
        <w:spacing w:line="460" w:lineRule="exact"/>
        <w:ind w:firstLine="480"/>
        <w:rPr>
          <w:rFonts w:ascii="宋体" w:hAnsi="宋体" w:cs="Arial"/>
          <w:sz w:val="24"/>
        </w:rPr>
      </w:pPr>
      <w:r>
        <w:rPr>
          <w:rFonts w:ascii="宋体" w:hAnsi="宋体" w:cs="Arial"/>
          <w:sz w:val="24"/>
        </w:rPr>
        <w:t>8.2.1</w:t>
      </w:r>
      <w:r>
        <w:rPr>
          <w:rFonts w:hint="eastAsia" w:ascii="宋体" w:hAnsi="宋体" w:cs="Arial"/>
          <w:sz w:val="24"/>
        </w:rPr>
        <w:t>报价包含</w:t>
      </w:r>
      <w:r>
        <w:rPr>
          <w:rFonts w:hint="eastAsia" w:ascii="宋体" w:hAnsi="宋体" w:cs="Arial"/>
          <w:sz w:val="24"/>
          <w:lang w:eastAsia="zh-CN"/>
        </w:rPr>
        <w:t>采购</w:t>
      </w:r>
      <w:r>
        <w:rPr>
          <w:rFonts w:hint="eastAsia" w:ascii="宋体" w:hAnsi="宋体" w:cs="Arial"/>
          <w:sz w:val="24"/>
          <w:lang w:val="en-US" w:eastAsia="zh-CN"/>
        </w:rPr>
        <w:t>钢筋混凝土管节材料产生</w:t>
      </w:r>
      <w:r>
        <w:rPr>
          <w:rFonts w:hint="eastAsia" w:ascii="宋体" w:hAnsi="宋体" w:cs="Arial"/>
          <w:sz w:val="24"/>
        </w:rPr>
        <w:t>的所有费用，但不仅限于材料费、运输费、利润、税金等为完成本</w:t>
      </w:r>
      <w:r>
        <w:rPr>
          <w:rFonts w:hint="eastAsia" w:ascii="宋体" w:hAnsi="宋体" w:cs="Arial"/>
          <w:sz w:val="24"/>
          <w:lang w:eastAsia="zh-CN"/>
        </w:rPr>
        <w:t>项采购</w:t>
      </w:r>
      <w:r>
        <w:rPr>
          <w:rFonts w:hint="eastAsia" w:ascii="宋体" w:hAnsi="宋体" w:cs="Arial"/>
          <w:sz w:val="24"/>
        </w:rPr>
        <w:t>所需全部费用由投标人自理。</w:t>
      </w:r>
    </w:p>
    <w:p>
      <w:pPr>
        <w:pStyle w:val="6"/>
        <w:spacing w:line="460" w:lineRule="exact"/>
        <w:ind w:firstLine="480"/>
        <w:rPr>
          <w:rFonts w:hAnsi="宋体" w:cs="Arial"/>
          <w:sz w:val="24"/>
        </w:rPr>
      </w:pPr>
      <w:r>
        <w:rPr>
          <w:rFonts w:hAnsi="宋体" w:cs="Arial"/>
          <w:sz w:val="24"/>
        </w:rPr>
        <w:t>8.3 其它费用处理</w:t>
      </w:r>
    </w:p>
    <w:p>
      <w:pPr>
        <w:pStyle w:val="6"/>
        <w:spacing w:line="460" w:lineRule="exact"/>
        <w:ind w:firstLine="480"/>
        <w:rPr>
          <w:rFonts w:hAnsi="宋体" w:cs="Arial"/>
          <w:sz w:val="24"/>
        </w:rPr>
      </w:pPr>
      <w:r>
        <w:rPr>
          <w:rFonts w:hAnsi="宋体" w:cs="Arial"/>
          <w:sz w:val="24"/>
        </w:rPr>
        <w:t>招标文件未列明，而投标人认为必需的费用也需列入报价。</w:t>
      </w:r>
    </w:p>
    <w:p>
      <w:pPr>
        <w:pStyle w:val="4"/>
        <w:spacing w:line="460" w:lineRule="exact"/>
        <w:ind w:firstLine="641" w:firstLineChars="200"/>
        <w:rPr>
          <w:rFonts w:ascii="宋体" w:hAnsi="宋体" w:cs="Arial"/>
          <w:b/>
          <w:sz w:val="32"/>
          <w:szCs w:val="32"/>
        </w:rPr>
      </w:pPr>
      <w:bookmarkStart w:id="22" w:name="_Hlt75236011"/>
      <w:bookmarkEnd w:id="22"/>
      <w:bookmarkStart w:id="23" w:name="_Toc91899884"/>
    </w:p>
    <w:p>
      <w:pPr>
        <w:spacing w:line="460" w:lineRule="exact"/>
        <w:jc w:val="center"/>
        <w:rPr>
          <w:rFonts w:ascii="宋体" w:hAnsi="宋体" w:cs="Arial"/>
          <w:b/>
          <w:sz w:val="32"/>
          <w:szCs w:val="32"/>
        </w:rPr>
      </w:pPr>
      <w:r>
        <w:rPr>
          <w:rFonts w:ascii="宋体" w:hAnsi="宋体" w:cs="Arial"/>
          <w:b/>
          <w:sz w:val="32"/>
          <w:szCs w:val="32"/>
        </w:rPr>
        <w:t>三、投标文件的编制</w:t>
      </w:r>
      <w:bookmarkEnd w:id="23"/>
    </w:p>
    <w:p>
      <w:pPr>
        <w:pStyle w:val="10"/>
        <w:spacing w:before="0" w:line="460" w:lineRule="exact"/>
        <w:ind w:firstLine="0" w:firstLineChars="0"/>
        <w:rPr>
          <w:rFonts w:ascii="宋体" w:hAnsi="宋体" w:cs="Arial"/>
          <w:b/>
        </w:rPr>
      </w:pPr>
      <w:r>
        <w:rPr>
          <w:rFonts w:ascii="宋体" w:hAnsi="宋体" w:cs="Arial"/>
          <w:b/>
        </w:rPr>
        <w:t>9. 投标文件的语言</w:t>
      </w:r>
    </w:p>
    <w:p>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投标文件及投标人与采购有关的来往通知、函件和文件均应使用中文。</w:t>
      </w:r>
    </w:p>
    <w:p>
      <w:pPr>
        <w:pStyle w:val="10"/>
        <w:spacing w:before="0" w:line="460" w:lineRule="exact"/>
        <w:ind w:firstLine="0" w:firstLineChars="0"/>
        <w:rPr>
          <w:rFonts w:ascii="宋体" w:hAnsi="宋体" w:cs="Arial"/>
          <w:b/>
        </w:rPr>
      </w:pPr>
      <w:r>
        <w:rPr>
          <w:rFonts w:ascii="宋体" w:hAnsi="宋体" w:cs="Arial"/>
          <w:b/>
        </w:rPr>
        <w:t>10. 投标文件的组成</w:t>
      </w:r>
    </w:p>
    <w:p>
      <w:pPr>
        <w:snapToGrid w:val="0"/>
        <w:spacing w:line="460" w:lineRule="exact"/>
        <w:ind w:firstLine="480" w:firstLineChars="200"/>
        <w:rPr>
          <w:rFonts w:hint="eastAsia"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1)投标函；</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3)报价明细清单</w:t>
      </w:r>
      <w:r>
        <w:rPr>
          <w:rFonts w:hint="eastAsia" w:ascii="宋体" w:hAnsi="宋体" w:cs="Arial"/>
          <w:sz w:val="24"/>
          <w:lang w:eastAsia="zh-CN"/>
        </w:rPr>
        <w:t>（单价组成及其分析）</w:t>
      </w:r>
      <w:r>
        <w:rPr>
          <w:rFonts w:hint="eastAsia" w:ascii="宋体" w:hAnsi="宋体" w:cs="Arial"/>
          <w:sz w:val="24"/>
        </w:rPr>
        <w:t>；</w:t>
      </w:r>
    </w:p>
    <w:p>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4</w:t>
      </w:r>
      <w:r>
        <w:rPr>
          <w:rFonts w:hint="eastAsia" w:ascii="宋体" w:hAnsi="宋体" w:cs="Arial"/>
          <w:sz w:val="24"/>
        </w:rPr>
        <w:t>)法定代表人委托的授权委托书；</w:t>
      </w:r>
    </w:p>
    <w:p>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)单位基本情况表；</w:t>
      </w:r>
    </w:p>
    <w:p>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)投标人业绩表；</w:t>
      </w:r>
    </w:p>
    <w:p>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投标人法人营业执照、资格证明材料等复印件。</w:t>
      </w:r>
    </w:p>
    <w:p>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hint="eastAsia" w:ascii="宋体" w:hAnsi="宋体" w:cs="Arial"/>
          <w:sz w:val="24"/>
          <w:lang w:eastAsia="zh-CN"/>
        </w:rPr>
        <w:t>（</w:t>
      </w:r>
      <w:r>
        <w:rPr>
          <w:rFonts w:hint="eastAsia" w:ascii="宋体" w:hAnsi="宋体" w:cs="Arial"/>
          <w:sz w:val="24"/>
        </w:rPr>
        <w:t>格式自拟)</w:t>
      </w:r>
      <w:r>
        <w:rPr>
          <w:rFonts w:ascii="宋体" w:hAnsi="宋体" w:cs="Arial"/>
          <w:sz w:val="24"/>
        </w:rPr>
        <w:t>：</w:t>
      </w:r>
    </w:p>
    <w:p>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 针对本</w:t>
      </w:r>
      <w:r>
        <w:rPr>
          <w:rFonts w:hint="eastAsia" w:ascii="宋体" w:hAnsi="宋体" w:cs="Arial"/>
          <w:sz w:val="24"/>
          <w:lang w:eastAsia="zh-CN"/>
        </w:rPr>
        <w:t>项采购</w:t>
      </w:r>
      <w:r>
        <w:rPr>
          <w:rFonts w:hint="eastAsia" w:ascii="宋体" w:hAnsi="宋体" w:cs="Arial"/>
          <w:sz w:val="24"/>
        </w:rPr>
        <w:t>完整的技术、服务方案；</w:t>
      </w:r>
    </w:p>
    <w:p>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2) 服务团队和质量保证措施。</w:t>
      </w:r>
    </w:p>
    <w:p>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10.3招标文件要求提供的其他资料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，投标人自行考虑装入资信报价文件或技术文件</w:t>
      </w:r>
      <w:r>
        <w:rPr>
          <w:rFonts w:ascii="宋体" w:hAnsi="宋体" w:cs="Arial"/>
          <w:bCs/>
          <w:kern w:val="0"/>
          <w:sz w:val="24"/>
          <w:lang w:val="zh-CN"/>
        </w:rPr>
        <w:t>）</w:t>
      </w:r>
      <w:r>
        <w:rPr>
          <w:rFonts w:hint="eastAsia" w:ascii="宋体" w:hAnsi="宋体" w:cs="Arial"/>
          <w:bCs/>
          <w:kern w:val="0"/>
          <w:sz w:val="24"/>
          <w:lang w:val="zh-CN"/>
        </w:rPr>
        <w:t>。</w:t>
      </w:r>
    </w:p>
    <w:bookmarkEnd w:id="24"/>
    <w:p>
      <w:pPr>
        <w:pStyle w:val="10"/>
        <w:spacing w:before="0" w:line="460" w:lineRule="exact"/>
        <w:ind w:firstLine="0" w:firstLineChars="0"/>
        <w:rPr>
          <w:rFonts w:ascii="宋体" w:hAnsi="宋体" w:cs="Arial"/>
          <w:b/>
        </w:rPr>
      </w:pPr>
      <w:r>
        <w:rPr>
          <w:rFonts w:ascii="宋体" w:hAnsi="宋体" w:cs="Arial"/>
          <w:b/>
        </w:rPr>
        <w:t>11. 投标有效期</w:t>
      </w:r>
    </w:p>
    <w:p>
      <w:pPr>
        <w:pStyle w:val="10"/>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pPr>
        <w:pStyle w:val="10"/>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w:t>
      </w:r>
      <w:r>
        <w:rPr>
          <w:rFonts w:hint="eastAsia" w:ascii="宋体" w:hAnsi="宋体" w:cs="Arial"/>
          <w:lang w:eastAsia="zh-CN"/>
        </w:rPr>
        <w:t>以</w:t>
      </w:r>
      <w:r>
        <w:rPr>
          <w:rFonts w:ascii="宋体" w:hAnsi="宋体" w:cs="Arial"/>
        </w:rPr>
        <w:t>书面形式通知投标人延长投标有效期。</w:t>
      </w:r>
    </w:p>
    <w:p>
      <w:pPr>
        <w:pStyle w:val="10"/>
        <w:spacing w:before="0" w:line="460" w:lineRule="exact"/>
        <w:ind w:left="0" w:leftChars="0" w:firstLine="0" w:firstLineChars="0"/>
        <w:rPr>
          <w:rFonts w:ascii="宋体" w:hAnsi="宋体" w:cs="Arial"/>
        </w:rPr>
      </w:pPr>
      <w:r>
        <w:rPr>
          <w:rFonts w:ascii="宋体" w:hAnsi="宋体" w:cs="Arial"/>
          <w:b/>
        </w:rPr>
        <w:t>12. 投标保证金</w:t>
      </w:r>
      <w:r>
        <w:rPr>
          <w:rFonts w:hint="eastAsia" w:ascii="宋体" w:hAnsi="宋体" w:cs="Arial"/>
        </w:rPr>
        <w:t>（本项目不采用</w:t>
      </w:r>
      <w:r>
        <w:rPr>
          <w:rFonts w:hint="eastAsia" w:ascii="宋体" w:hAnsi="宋体" w:cs="Arial"/>
          <w:lang w:eastAsia="zh-CN"/>
        </w:rPr>
        <w:t>或项目部自行决定</w:t>
      </w:r>
      <w:r>
        <w:rPr>
          <w:rFonts w:hint="eastAsia" w:ascii="宋体" w:hAnsi="宋体" w:cs="Arial"/>
        </w:rPr>
        <w:t>）</w:t>
      </w:r>
    </w:p>
    <w:p>
      <w:pPr>
        <w:pStyle w:val="10"/>
        <w:spacing w:before="0" w:line="460" w:lineRule="exact"/>
        <w:ind w:firstLine="0" w:firstLineChars="0"/>
        <w:rPr>
          <w:rFonts w:ascii="宋体" w:hAnsi="宋体" w:cs="Arial"/>
          <w:b/>
        </w:rPr>
      </w:pPr>
      <w:r>
        <w:rPr>
          <w:rFonts w:ascii="宋体" w:hAnsi="宋体" w:cs="Arial"/>
          <w:b/>
        </w:rPr>
        <w:t>13. 投标文件的编制和签署</w:t>
      </w:r>
    </w:p>
    <w:p>
      <w:pPr>
        <w:pStyle w:val="10"/>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pPr>
        <w:pStyle w:val="10"/>
        <w:spacing w:before="0" w:line="460" w:lineRule="exact"/>
        <w:ind w:firstLine="480"/>
        <w:rPr>
          <w:rFonts w:hint="eastAsia"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p>
      <w:pPr>
        <w:pStyle w:val="4"/>
        <w:ind w:firstLine="480" w:firstLineChars="200"/>
        <w:rPr>
          <w:rFonts w:hint="eastAsia" w:eastAsia="宋体"/>
          <w:lang w:val="en-US" w:eastAsia="zh-CN"/>
        </w:rPr>
      </w:pPr>
      <w:r>
        <w:rPr>
          <w:rFonts w:ascii="宋体" w:hAnsi="宋体" w:cs="Arial"/>
          <w:sz w:val="24"/>
        </w:rPr>
        <w:t>13.</w:t>
      </w:r>
      <w:r>
        <w:rPr>
          <w:rFonts w:hint="eastAsia" w:cs="Arial"/>
          <w:sz w:val="24"/>
          <w:lang w:val="en-US" w:eastAsia="zh-CN"/>
        </w:rPr>
        <w:t>4所有的投标文件都应采用标准的胶装，不接收未装订的投标文件</w:t>
      </w:r>
    </w:p>
    <w:bookmarkEnd w:id="25"/>
    <w:p>
      <w:pPr>
        <w:spacing w:line="460" w:lineRule="exact"/>
        <w:ind w:firstLine="480" w:firstLineChars="200"/>
        <w:rPr>
          <w:rFonts w:ascii="宋体" w:hAnsi="宋体" w:cs="Arial"/>
          <w:sz w:val="24"/>
        </w:rPr>
      </w:pPr>
    </w:p>
    <w:p>
      <w:pPr>
        <w:spacing w:line="460" w:lineRule="exact"/>
        <w:jc w:val="center"/>
        <w:rPr>
          <w:rFonts w:ascii="宋体" w:hAnsi="宋体" w:cs="Arial"/>
          <w:b/>
          <w:sz w:val="32"/>
          <w:szCs w:val="32"/>
        </w:rPr>
      </w:pPr>
      <w:bookmarkStart w:id="26" w:name="_Hlt68403820"/>
      <w:bookmarkEnd w:id="26"/>
      <w:bookmarkStart w:id="27" w:name="_Hlt68073093"/>
      <w:bookmarkEnd w:id="27"/>
      <w:bookmarkStart w:id="28" w:name="_Hlt68072998"/>
      <w:bookmarkEnd w:id="28"/>
      <w:bookmarkStart w:id="29" w:name="_Toc86216991"/>
      <w:bookmarkStart w:id="30" w:name="_Toc91899892"/>
      <w:r>
        <w:rPr>
          <w:rFonts w:ascii="宋体" w:hAnsi="宋体" w:cs="Arial"/>
          <w:b/>
          <w:sz w:val="32"/>
          <w:szCs w:val="32"/>
        </w:rPr>
        <w:t>四、投标文件的递交</w:t>
      </w:r>
      <w:bookmarkEnd w:id="29"/>
    </w:p>
    <w:bookmarkEnd w:id="30"/>
    <w:p>
      <w:pPr>
        <w:pStyle w:val="10"/>
        <w:spacing w:before="0" w:line="460" w:lineRule="exact"/>
        <w:ind w:firstLine="0" w:firstLineChars="0"/>
        <w:rPr>
          <w:rFonts w:ascii="宋体" w:hAnsi="宋体" w:cs="Arial"/>
          <w:b/>
        </w:rPr>
      </w:pPr>
      <w:r>
        <w:rPr>
          <w:rFonts w:ascii="宋体" w:hAnsi="宋体" w:cs="Arial"/>
          <w:b/>
        </w:rPr>
        <w:t>14. 投标文件的密封与标志</w:t>
      </w:r>
    </w:p>
    <w:p>
      <w:pPr>
        <w:pStyle w:val="10"/>
        <w:spacing w:before="0" w:line="460" w:lineRule="exact"/>
        <w:ind w:firstLine="480"/>
        <w:rPr>
          <w:rFonts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szCs w:val="24"/>
        </w:rPr>
        <w:t>没有密封包装的投标文件，将被当场拒绝</w:t>
      </w:r>
      <w:r>
        <w:rPr>
          <w:rFonts w:ascii="宋体" w:hAnsi="宋体" w:cs="Arial"/>
        </w:rPr>
        <w:t>。</w:t>
      </w:r>
    </w:p>
    <w:p>
      <w:pPr>
        <w:pStyle w:val="10"/>
        <w:spacing w:before="0" w:line="460" w:lineRule="exact"/>
        <w:ind w:firstLine="480"/>
        <w:rPr>
          <w:rFonts w:hint="eastAsia"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pPr>
        <w:pStyle w:val="10"/>
        <w:spacing w:before="0" w:line="460" w:lineRule="exact"/>
        <w:ind w:firstLine="480"/>
        <w:rPr>
          <w:rFonts w:ascii="宋体" w:hAnsi="宋体" w:cs="Arial"/>
        </w:rPr>
      </w:pPr>
      <w:r>
        <w:rPr>
          <w:rFonts w:ascii="宋体" w:hAnsi="宋体" w:cs="Arial"/>
        </w:rPr>
        <w:t>14.3 投标文件递交至前附表第7项所述的单位和地址。</w:t>
      </w:r>
    </w:p>
    <w:p>
      <w:pPr>
        <w:pStyle w:val="10"/>
        <w:spacing w:before="0" w:line="460" w:lineRule="exact"/>
        <w:ind w:firstLine="0" w:firstLineChars="0"/>
        <w:rPr>
          <w:rFonts w:ascii="宋体" w:hAnsi="宋体" w:cs="Arial"/>
          <w:b/>
        </w:rPr>
      </w:pPr>
      <w:r>
        <w:rPr>
          <w:rFonts w:ascii="宋体" w:hAnsi="宋体" w:cs="Arial"/>
          <w:b/>
        </w:rPr>
        <w:t>15. 投标截止期</w:t>
      </w:r>
    </w:p>
    <w:p>
      <w:pPr>
        <w:pStyle w:val="10"/>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pPr>
        <w:pStyle w:val="10"/>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pPr>
        <w:pStyle w:val="10"/>
        <w:spacing w:before="0" w:line="460" w:lineRule="exact"/>
        <w:ind w:firstLine="0" w:firstLineChars="0"/>
        <w:rPr>
          <w:rFonts w:ascii="宋体" w:hAnsi="宋体" w:cs="Arial"/>
          <w:b/>
        </w:rPr>
      </w:pPr>
      <w:r>
        <w:rPr>
          <w:rFonts w:ascii="宋体" w:hAnsi="宋体" w:cs="Arial"/>
          <w:b/>
        </w:rPr>
        <w:t>16. 投标文件的修改</w:t>
      </w:r>
    </w:p>
    <w:p>
      <w:pPr>
        <w:pStyle w:val="10"/>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pPr>
        <w:pStyle w:val="10"/>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pPr>
        <w:pStyle w:val="10"/>
        <w:spacing w:before="0" w:line="460" w:lineRule="exact"/>
        <w:ind w:firstLine="480"/>
        <w:rPr>
          <w:rFonts w:ascii="宋体" w:hAnsi="宋体" w:cs="Arial"/>
        </w:rPr>
      </w:pPr>
      <w:r>
        <w:rPr>
          <w:rFonts w:ascii="宋体" w:hAnsi="宋体" w:cs="Arial"/>
        </w:rPr>
        <w:t>16.3投标人对投标文件的修改均要加以说明，否则其修改将被视为无效。</w:t>
      </w:r>
    </w:p>
    <w:p>
      <w:pPr>
        <w:pStyle w:val="10"/>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将承担由此引起的一起损失</w:t>
      </w:r>
      <w:r>
        <w:rPr>
          <w:rFonts w:ascii="宋体" w:hAnsi="宋体" w:cs="Arial"/>
        </w:rPr>
        <w:t>。</w:t>
      </w:r>
    </w:p>
    <w:p>
      <w:pPr>
        <w:pStyle w:val="10"/>
        <w:spacing w:before="0" w:line="460" w:lineRule="exact"/>
        <w:ind w:firstLine="480"/>
        <w:rPr>
          <w:rFonts w:ascii="宋体" w:hAnsi="宋体" w:cs="Arial"/>
        </w:rPr>
      </w:pPr>
    </w:p>
    <w:p>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pPr>
        <w:pStyle w:val="10"/>
        <w:spacing w:before="0" w:line="460" w:lineRule="exact"/>
        <w:ind w:firstLine="0" w:firstLineChars="0"/>
        <w:rPr>
          <w:rFonts w:ascii="宋体" w:hAnsi="宋体" w:cs="Arial"/>
          <w:b/>
        </w:rPr>
      </w:pPr>
      <w:r>
        <w:rPr>
          <w:rFonts w:ascii="宋体" w:hAnsi="宋体" w:cs="Arial"/>
          <w:b/>
        </w:rPr>
        <w:t>17. 开标</w:t>
      </w:r>
    </w:p>
    <w:p>
      <w:pPr>
        <w:pStyle w:val="10"/>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招标人将于前附表第8项载明的时间、地点开标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如不派代表参加开标大会的，事后不得对采购相关人员、开标过程和开标结果提出异议。</w:t>
      </w:r>
    </w:p>
    <w:p>
      <w:pPr>
        <w:pStyle w:val="11"/>
        <w:spacing w:before="0" w:line="460" w:lineRule="exact"/>
        <w:ind w:left="0" w:firstLine="480"/>
        <w:rPr>
          <w:rFonts w:hint="eastAsia"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pPr>
        <w:pStyle w:val="11"/>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11"/>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r>
        <w:rPr>
          <w:rFonts w:ascii="宋体" w:hAnsi="宋体" w:cs="Arial"/>
          <w:sz w:val="24"/>
          <w:szCs w:val="24"/>
        </w:rPr>
        <w:t>。</w:t>
      </w:r>
    </w:p>
    <w:p>
      <w:pPr>
        <w:pStyle w:val="11"/>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正本及有关资料未加盖法人单位公章、未由法定代表人或授权委托人签字盖章。</w:t>
      </w:r>
    </w:p>
    <w:p>
      <w:pPr>
        <w:pStyle w:val="11"/>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pPr>
        <w:pStyle w:val="10"/>
        <w:spacing w:before="0" w:line="460" w:lineRule="exact"/>
        <w:ind w:firstLine="480"/>
        <w:rPr>
          <w:rFonts w:hint="eastAsia"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投标文件组成漏项或未按规定的格式编制，内容不全或内容字迹模糊辨认不清。</w:t>
      </w:r>
    </w:p>
    <w:p>
      <w:pPr>
        <w:pStyle w:val="10"/>
        <w:spacing w:before="0" w:line="460" w:lineRule="exact"/>
        <w:ind w:firstLine="0" w:firstLineChars="0"/>
        <w:rPr>
          <w:rFonts w:ascii="宋体" w:hAnsi="宋体" w:cs="Arial"/>
          <w:b/>
        </w:rPr>
      </w:pPr>
      <w:r>
        <w:rPr>
          <w:rFonts w:ascii="宋体" w:hAnsi="宋体" w:cs="Arial"/>
          <w:b/>
        </w:rPr>
        <w:t>18.  投标文件鉴定</w:t>
      </w:r>
    </w:p>
    <w:p>
      <w:pPr>
        <w:pStyle w:val="10"/>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pPr>
        <w:pStyle w:val="10"/>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pPr>
        <w:pStyle w:val="10"/>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pPr>
        <w:pStyle w:val="10"/>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w:t>
      </w:r>
      <w:r>
        <w:rPr>
          <w:rFonts w:hint="eastAsia" w:ascii="宋体" w:hAnsi="宋体" w:cs="Arial"/>
          <w:szCs w:val="24"/>
          <w:lang w:eastAsia="zh-CN"/>
        </w:rPr>
        <w:t>撤销</w:t>
      </w:r>
      <w:r>
        <w:rPr>
          <w:rFonts w:ascii="宋体" w:hAnsi="宋体" w:cs="Arial"/>
          <w:szCs w:val="24"/>
        </w:rPr>
        <w:t>不符合要求的差异或保留，使之成为具有响应性的投标。</w:t>
      </w:r>
    </w:p>
    <w:p>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pPr>
        <w:spacing w:line="460" w:lineRule="exact"/>
        <w:jc w:val="center"/>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pPr>
        <w:pStyle w:val="6"/>
        <w:snapToGrid w:val="0"/>
        <w:spacing w:line="360" w:lineRule="auto"/>
        <w:rPr>
          <w:rFonts w:hAnsi="宋体" w:cs="Arial"/>
          <w:b/>
          <w:sz w:val="24"/>
          <w:szCs w:val="24"/>
        </w:rPr>
      </w:pPr>
      <w:bookmarkStart w:id="34" w:name="_Toc91899903"/>
      <w:r>
        <w:rPr>
          <w:rFonts w:hAnsi="宋体" w:cs="Arial"/>
          <w:b/>
          <w:sz w:val="24"/>
          <w:szCs w:val="24"/>
        </w:rPr>
        <w:t>19. 评标组织</w:t>
      </w:r>
    </w:p>
    <w:p>
      <w:pPr>
        <w:pStyle w:val="6"/>
        <w:snapToGrid w:val="0"/>
        <w:spacing w:line="360" w:lineRule="auto"/>
        <w:ind w:firstLine="470" w:firstLineChars="196"/>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pPr>
        <w:pStyle w:val="6"/>
        <w:snapToGrid w:val="0"/>
        <w:spacing w:line="360" w:lineRule="auto"/>
        <w:rPr>
          <w:rFonts w:hAnsi="宋体" w:cs="Arial"/>
          <w:b/>
          <w:sz w:val="24"/>
          <w:szCs w:val="24"/>
        </w:rPr>
      </w:pPr>
      <w:r>
        <w:rPr>
          <w:rFonts w:hAnsi="宋体" w:cs="Arial"/>
          <w:b/>
          <w:sz w:val="24"/>
          <w:szCs w:val="24"/>
        </w:rPr>
        <w:t>20. 评标原则</w:t>
      </w:r>
    </w:p>
    <w:p>
      <w:pPr>
        <w:pStyle w:val="6"/>
        <w:snapToGrid w:val="0"/>
        <w:spacing w:line="360" w:lineRule="auto"/>
        <w:ind w:firstLine="470" w:firstLineChars="196"/>
        <w:rPr>
          <w:rFonts w:hAnsi="宋体" w:cs="Arial"/>
          <w:b/>
          <w:sz w:val="24"/>
          <w:szCs w:val="24"/>
        </w:rPr>
      </w:pPr>
      <w:r>
        <w:rPr>
          <w:rFonts w:hAnsi="宋体" w:cs="Arial"/>
          <w:sz w:val="24"/>
        </w:rPr>
        <w:t xml:space="preserve">20.1 </w:t>
      </w:r>
      <w:r>
        <w:rPr>
          <w:rFonts w:hAnsi="宋体" w:cs="Arial"/>
          <w:sz w:val="24"/>
          <w:szCs w:val="24"/>
        </w:rPr>
        <w:t>竞争优选；</w:t>
      </w:r>
    </w:p>
    <w:p>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pPr>
        <w:pStyle w:val="6"/>
        <w:snapToGrid w:val="0"/>
        <w:spacing w:line="360" w:lineRule="auto"/>
        <w:rPr>
          <w:rFonts w:hAnsi="宋体" w:cs="Arial"/>
          <w:b/>
          <w:sz w:val="24"/>
          <w:szCs w:val="24"/>
        </w:rPr>
      </w:pPr>
      <w:r>
        <w:rPr>
          <w:rFonts w:hAnsi="宋体" w:cs="Arial"/>
          <w:b/>
          <w:sz w:val="24"/>
          <w:szCs w:val="24"/>
        </w:rPr>
        <w:t>21. 评标办法</w:t>
      </w:r>
    </w:p>
    <w:p>
      <w:pPr>
        <w:tabs>
          <w:tab w:val="left" w:pos="0"/>
        </w:tabs>
        <w:snapToGrid w:val="0"/>
        <w:spacing w:line="360" w:lineRule="auto"/>
        <w:ind w:firstLine="540" w:firstLineChars="225"/>
        <w:rPr>
          <w:rFonts w:hint="eastAsia" w:ascii="宋体" w:hAnsi="宋体" w:cs="Arial"/>
          <w:sz w:val="24"/>
        </w:rPr>
      </w:pPr>
      <w:r>
        <w:rPr>
          <w:rFonts w:ascii="宋体" w:hAnsi="宋体" w:cs="Arial"/>
          <w:sz w:val="24"/>
        </w:rPr>
        <w:t>21.1</w:t>
      </w:r>
      <w:r>
        <w:rPr>
          <w:rFonts w:ascii="宋体" w:hAnsi="宋体" w:cs="Arial"/>
          <w:b/>
          <w:sz w:val="24"/>
        </w:rPr>
        <w:t>本项目采用</w:t>
      </w:r>
      <w:r>
        <w:rPr>
          <w:rFonts w:hint="eastAsia" w:ascii="宋体" w:hAnsi="宋体" w:cs="Arial"/>
          <w:b/>
          <w:sz w:val="24"/>
        </w:rPr>
        <w:t>经评审最低价</w:t>
      </w:r>
      <w:r>
        <w:rPr>
          <w:rFonts w:ascii="宋体" w:hAnsi="宋体" w:cs="Arial"/>
          <w:b/>
          <w:sz w:val="24"/>
        </w:rPr>
        <w:t>法。</w:t>
      </w:r>
    </w:p>
    <w:p>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21.2投标文件的初审（符合性审查）</w:t>
      </w:r>
    </w:p>
    <w:p>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pPr>
        <w:tabs>
          <w:tab w:val="left" w:pos="0"/>
        </w:tabs>
        <w:snapToGrid w:val="0"/>
        <w:spacing w:line="360" w:lineRule="auto"/>
        <w:ind w:firstLine="541"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pPr>
        <w:tabs>
          <w:tab w:val="left" w:pos="0"/>
        </w:tabs>
        <w:snapToGrid w:val="0"/>
        <w:spacing w:line="360" w:lineRule="auto"/>
        <w:ind w:firstLine="541" w:firstLineChars="225"/>
        <w:rPr>
          <w:rFonts w:ascii="宋体" w:hAnsi="宋体" w:cs="Arial"/>
          <w:b/>
          <w:sz w:val="24"/>
        </w:rPr>
      </w:pPr>
      <w:r>
        <w:rPr>
          <w:rFonts w:hint="eastAsia" w:ascii="宋体" w:hAnsi="宋体" w:cs="Arial"/>
          <w:b/>
          <w:sz w:val="24"/>
          <w:lang w:eastAsia="zh-CN"/>
        </w:rPr>
        <w:t>（</w:t>
      </w: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pPr>
        <w:tabs>
          <w:tab w:val="left" w:pos="0"/>
        </w:tabs>
        <w:snapToGrid w:val="0"/>
        <w:spacing w:line="360" w:lineRule="auto"/>
        <w:ind w:firstLine="541" w:firstLineChars="225"/>
        <w:rPr>
          <w:rFonts w:ascii="宋体" w:hAnsi="宋体" w:cs="Arial"/>
          <w:b/>
          <w:sz w:val="24"/>
        </w:rPr>
      </w:pPr>
      <w:r>
        <w:rPr>
          <w:rFonts w:hint="eastAsia" w:ascii="宋体" w:hAnsi="宋体" w:cs="Arial"/>
          <w:b/>
          <w:sz w:val="24"/>
          <w:lang w:eastAsia="zh-CN"/>
        </w:rPr>
        <w:t>（</w:t>
      </w:r>
      <w:r>
        <w:rPr>
          <w:rFonts w:ascii="宋体" w:hAnsi="宋体" w:cs="Arial"/>
          <w:b/>
          <w:sz w:val="24"/>
        </w:rPr>
        <w:t>2)投标文件未按规定的格式填写，内容不全或关键字迹模糊、无法辨认的；</w:t>
      </w:r>
    </w:p>
    <w:p>
      <w:pPr>
        <w:tabs>
          <w:tab w:val="left" w:pos="0"/>
        </w:tabs>
        <w:snapToGrid w:val="0"/>
        <w:spacing w:line="360" w:lineRule="auto"/>
        <w:ind w:firstLine="541" w:firstLineChars="225"/>
        <w:rPr>
          <w:rFonts w:ascii="宋体" w:hAnsi="宋体" w:cs="Arial"/>
          <w:b/>
          <w:sz w:val="24"/>
        </w:rPr>
      </w:pPr>
      <w:r>
        <w:rPr>
          <w:rFonts w:hint="eastAsia" w:ascii="宋体" w:hAnsi="宋体" w:cs="Arial"/>
          <w:b/>
          <w:sz w:val="24"/>
          <w:lang w:eastAsia="zh-CN"/>
        </w:rPr>
        <w:t>（</w:t>
      </w: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具有投资参股关系的关联企业，或具有直接管理和被管理关系的母子公司，或同一母公司的子公司，或法定代表人为同一人的两个及两个以上法人不得同时对同一标段投标</w:t>
      </w:r>
    </w:p>
    <w:p>
      <w:pPr>
        <w:tabs>
          <w:tab w:val="left" w:pos="0"/>
        </w:tabs>
        <w:snapToGrid w:val="0"/>
        <w:spacing w:line="360" w:lineRule="auto"/>
        <w:ind w:firstLine="541" w:firstLineChars="225"/>
        <w:rPr>
          <w:rFonts w:hint="eastAsia" w:ascii="宋体" w:hAnsi="宋体" w:cs="Arial"/>
          <w:b/>
          <w:sz w:val="24"/>
        </w:rPr>
      </w:pPr>
      <w:r>
        <w:rPr>
          <w:rFonts w:ascii="宋体" w:hAnsi="宋体" w:cs="Arial"/>
          <w:b/>
          <w:sz w:val="24"/>
        </w:rPr>
        <w:t>(4)</w:t>
      </w:r>
      <w:r>
        <w:rPr>
          <w:rFonts w:hint="eastAsia" w:ascii="宋体" w:hAnsi="宋体" w:cs="Arial"/>
          <w:b/>
          <w:sz w:val="24"/>
        </w:rPr>
        <w:t xml:space="preserve"> 联合体投标未提供联合体投标协议书，或联合体协议书不符合招标文件规定；</w:t>
      </w:r>
    </w:p>
    <w:p>
      <w:pPr>
        <w:tabs>
          <w:tab w:val="left" w:pos="0"/>
        </w:tabs>
        <w:snapToGrid w:val="0"/>
        <w:spacing w:line="360" w:lineRule="auto"/>
        <w:ind w:firstLine="541" w:firstLineChars="225"/>
        <w:rPr>
          <w:rFonts w:hint="eastAsia" w:ascii="宋体" w:hAnsi="宋体" w:cs="Arial"/>
          <w:b/>
          <w:sz w:val="24"/>
        </w:rPr>
      </w:pPr>
      <w:r>
        <w:rPr>
          <w:rFonts w:ascii="宋体" w:hAnsi="宋体" w:cs="Arial"/>
          <w:b/>
          <w:sz w:val="24"/>
        </w:rPr>
        <w:t>(5)</w:t>
      </w:r>
      <w:r>
        <w:rPr>
          <w:rFonts w:hint="eastAsia" w:ascii="宋体" w:hAnsi="宋体" w:cs="Arial"/>
          <w:b/>
          <w:sz w:val="24"/>
        </w:rPr>
        <w:t xml:space="preserve"> 投标报价超过招标文件载明的收费标准的；</w:t>
      </w:r>
    </w:p>
    <w:p>
      <w:pPr>
        <w:tabs>
          <w:tab w:val="left" w:pos="0"/>
        </w:tabs>
        <w:snapToGrid w:val="0"/>
        <w:spacing w:line="360" w:lineRule="auto"/>
        <w:ind w:firstLine="541" w:firstLineChars="225"/>
        <w:rPr>
          <w:rFonts w:hint="eastAsia" w:ascii="宋体" w:hAnsi="宋体" w:cs="Arial"/>
          <w:b/>
          <w:sz w:val="24"/>
        </w:rPr>
      </w:pPr>
      <w:r>
        <w:rPr>
          <w:rFonts w:ascii="宋体" w:hAnsi="宋体" w:cs="Arial"/>
          <w:b/>
          <w:sz w:val="24"/>
        </w:rPr>
        <w:t xml:space="preserve">(6) </w:t>
      </w:r>
      <w:r>
        <w:rPr>
          <w:rFonts w:hint="eastAsia" w:ascii="宋体" w:hAnsi="宋体" w:cs="Arial"/>
          <w:b/>
          <w:sz w:val="24"/>
        </w:rPr>
        <w:t>投标人资格不满足招标文件规定的；</w:t>
      </w:r>
    </w:p>
    <w:p>
      <w:pPr>
        <w:tabs>
          <w:tab w:val="left" w:pos="0"/>
        </w:tabs>
        <w:snapToGrid w:val="0"/>
        <w:spacing w:line="360" w:lineRule="auto"/>
        <w:ind w:firstLine="541" w:firstLineChars="225"/>
        <w:rPr>
          <w:rFonts w:hint="eastAsia" w:ascii="宋体" w:hAnsi="宋体" w:cs="Arial"/>
          <w:b/>
          <w:sz w:val="24"/>
        </w:rPr>
      </w:pPr>
      <w:r>
        <w:rPr>
          <w:rFonts w:hint="eastAsia" w:ascii="宋体" w:hAnsi="宋体" w:cs="Arial"/>
          <w:b/>
          <w:sz w:val="24"/>
          <w:lang w:eastAsia="zh-CN"/>
        </w:rPr>
        <w:t>（</w:t>
      </w:r>
      <w:r>
        <w:rPr>
          <w:rFonts w:hint="eastAsia" w:ascii="宋体" w:hAnsi="宋体" w:cs="Arial"/>
          <w:b/>
          <w:sz w:val="24"/>
        </w:rPr>
        <w:t>7)法定代表人或单位负责人为同一人或者存在控股、管理关系的不同单位；</w:t>
      </w:r>
    </w:p>
    <w:p>
      <w:pPr>
        <w:tabs>
          <w:tab w:val="left" w:pos="0"/>
        </w:tabs>
        <w:snapToGrid w:val="0"/>
        <w:spacing w:line="360" w:lineRule="auto"/>
        <w:ind w:firstLine="541" w:firstLineChars="225"/>
        <w:rPr>
          <w:rFonts w:ascii="宋体" w:hAnsi="宋体" w:cs="Arial"/>
          <w:b/>
          <w:sz w:val="24"/>
        </w:rPr>
      </w:pPr>
      <w:r>
        <w:rPr>
          <w:rFonts w:ascii="宋体" w:hAnsi="宋体" w:cs="Arial"/>
          <w:b/>
          <w:sz w:val="24"/>
        </w:rPr>
        <w:t>(</w:t>
      </w:r>
      <w:r>
        <w:rPr>
          <w:rFonts w:hint="eastAsia" w:ascii="宋体" w:hAnsi="宋体" w:cs="Arial"/>
          <w:b/>
          <w:sz w:val="24"/>
        </w:rPr>
        <w:t>8</w:t>
      </w:r>
      <w:r>
        <w:rPr>
          <w:rFonts w:ascii="宋体" w:hAnsi="宋体" w:cs="Arial"/>
          <w:b/>
          <w:sz w:val="24"/>
        </w:rPr>
        <w:t>)</w:t>
      </w:r>
      <w:r>
        <w:rPr>
          <w:rFonts w:hint="eastAsia" w:ascii="宋体" w:hAnsi="宋体" w:cs="Arial"/>
          <w:b/>
          <w:sz w:val="24"/>
        </w:rPr>
        <w:t xml:space="preserve"> </w:t>
      </w:r>
      <w:r>
        <w:rPr>
          <w:rFonts w:ascii="宋体" w:hAnsi="宋体" w:cs="Arial"/>
          <w:b/>
          <w:sz w:val="24"/>
        </w:rPr>
        <w:t>法律、法规、规章或招标文件规定</w:t>
      </w:r>
      <w:r>
        <w:rPr>
          <w:rFonts w:hint="eastAsia" w:ascii="宋体" w:hAnsi="宋体" w:cs="Arial"/>
          <w:b/>
          <w:sz w:val="24"/>
          <w:lang w:eastAsia="zh-CN"/>
        </w:rPr>
        <w:t>的其他</w:t>
      </w:r>
      <w:r>
        <w:rPr>
          <w:rFonts w:ascii="宋体" w:hAnsi="宋体" w:cs="Arial"/>
          <w:b/>
          <w:sz w:val="24"/>
        </w:rPr>
        <w:t>无效</w:t>
      </w:r>
      <w:r>
        <w:rPr>
          <w:rFonts w:hint="eastAsia" w:ascii="宋体" w:hAnsi="宋体" w:cs="Arial"/>
          <w:b/>
          <w:sz w:val="24"/>
          <w:lang w:eastAsia="zh-CN"/>
        </w:rPr>
        <w:t>投标</w:t>
      </w:r>
      <w:r>
        <w:rPr>
          <w:rFonts w:ascii="宋体" w:hAnsi="宋体" w:cs="Arial"/>
          <w:b/>
          <w:sz w:val="24"/>
        </w:rPr>
        <w:t>情况的。</w:t>
      </w:r>
    </w:p>
    <w:p>
      <w:pPr>
        <w:tabs>
          <w:tab w:val="left" w:pos="0"/>
        </w:tabs>
        <w:snapToGrid w:val="0"/>
        <w:spacing w:line="360" w:lineRule="auto"/>
        <w:ind w:firstLine="540" w:firstLineChars="225"/>
        <w:rPr>
          <w:rFonts w:ascii="宋体" w:hAnsi="宋体" w:cs="Arial"/>
          <w:sz w:val="24"/>
        </w:rPr>
      </w:pPr>
      <w:r>
        <w:rPr>
          <w:rFonts w:ascii="宋体" w:hAnsi="宋体" w:cs="Arial"/>
          <w:sz w:val="24"/>
        </w:rPr>
        <w:t>21.</w:t>
      </w:r>
      <w:r>
        <w:rPr>
          <w:rFonts w:hint="eastAsia" w:ascii="宋体" w:hAnsi="宋体" w:cs="Arial"/>
          <w:sz w:val="24"/>
        </w:rPr>
        <w:t>4投标文件的技术评审</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3"/>
        <w:gridCol w:w="1252"/>
        <w:gridCol w:w="67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b/>
              </w:rPr>
            </w:pPr>
            <w:r>
              <w:rPr>
                <w:rFonts w:hint="eastAsia" w:ascii="宋体" w:hAnsi="宋体"/>
                <w:b/>
              </w:rPr>
              <w:t>序号</w:t>
            </w:r>
          </w:p>
        </w:tc>
        <w:tc>
          <w:tcPr>
            <w:tcW w:w="711" w:type="pct"/>
            <w:tcBorders>
              <w:left w:val="single" w:color="auto" w:sz="4" w:space="0"/>
            </w:tcBorders>
            <w:noWrap w:val="0"/>
            <w:vAlign w:val="center"/>
          </w:tcPr>
          <w:p>
            <w:pPr>
              <w:snapToGrid w:val="0"/>
              <w:jc w:val="center"/>
              <w:rPr>
                <w:rFonts w:ascii="宋体" w:hAnsi="宋体"/>
                <w:b/>
              </w:rPr>
            </w:pPr>
            <w:r>
              <w:rPr>
                <w:rFonts w:ascii="宋体" w:hAnsi="宋体"/>
                <w:b/>
              </w:rPr>
              <w:t>项目</w:t>
            </w:r>
          </w:p>
        </w:tc>
        <w:tc>
          <w:tcPr>
            <w:tcW w:w="3850" w:type="pct"/>
            <w:noWrap w:val="0"/>
            <w:vAlign w:val="center"/>
          </w:tcPr>
          <w:p>
            <w:pPr>
              <w:snapToGrid w:val="0"/>
              <w:jc w:val="center"/>
              <w:rPr>
                <w:rFonts w:ascii="宋体" w:hAnsi="宋体"/>
                <w:b/>
              </w:rPr>
            </w:pPr>
            <w:r>
              <w:rPr>
                <w:rFonts w:ascii="宋体" w:hAnsi="宋体"/>
                <w:b/>
                <w:szCs w:val="21"/>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rPr>
            </w:pPr>
            <w:r>
              <w:rPr>
                <w:rFonts w:hint="eastAsia" w:ascii="宋体" w:hAnsi="宋体"/>
              </w:rPr>
              <w:t>1</w:t>
            </w:r>
          </w:p>
        </w:tc>
        <w:tc>
          <w:tcPr>
            <w:tcW w:w="711" w:type="pct"/>
            <w:tcBorders>
              <w:left w:val="single" w:color="auto" w:sz="4" w:space="0"/>
            </w:tcBorders>
            <w:noWrap w:val="0"/>
            <w:vAlign w:val="center"/>
          </w:tcPr>
          <w:p>
            <w:pPr>
              <w:snapToGrid w:val="0"/>
              <w:jc w:val="center"/>
              <w:rPr>
                <w:rFonts w:ascii="宋体" w:hAnsi="宋体"/>
              </w:rPr>
            </w:pPr>
            <w:r>
              <w:rPr>
                <w:rFonts w:ascii="宋体" w:hAnsi="宋体"/>
              </w:rPr>
              <w:t>技术资料</w:t>
            </w:r>
          </w:p>
        </w:tc>
        <w:tc>
          <w:tcPr>
            <w:tcW w:w="3850" w:type="pct"/>
            <w:noWrap w:val="0"/>
            <w:vAlign w:val="center"/>
          </w:tcPr>
          <w:p>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rPr>
            </w:pPr>
            <w:r>
              <w:rPr>
                <w:rFonts w:hint="eastAsia" w:ascii="宋体" w:hAnsi="宋体"/>
              </w:rPr>
              <w:t>2</w:t>
            </w:r>
          </w:p>
        </w:tc>
        <w:tc>
          <w:tcPr>
            <w:tcW w:w="711" w:type="pct"/>
            <w:tcBorders>
              <w:left w:val="single" w:color="auto" w:sz="4" w:space="0"/>
            </w:tcBorders>
            <w:noWrap w:val="0"/>
            <w:vAlign w:val="center"/>
          </w:tcPr>
          <w:p>
            <w:pPr>
              <w:snapToGrid w:val="0"/>
              <w:jc w:val="center"/>
              <w:rPr>
                <w:rFonts w:ascii="宋体" w:hAnsi="宋体"/>
              </w:rPr>
            </w:pPr>
            <w:r>
              <w:rPr>
                <w:rFonts w:hint="eastAsia" w:ascii="宋体" w:hAnsi="宋体"/>
              </w:rPr>
              <w:t>服务人员</w:t>
            </w:r>
          </w:p>
        </w:tc>
        <w:tc>
          <w:tcPr>
            <w:tcW w:w="3850" w:type="pct"/>
            <w:noWrap w:val="0"/>
            <w:vAlign w:val="center"/>
          </w:tcPr>
          <w:p>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0" w:hRule="atLeast"/>
          <w:tblHeader/>
        </w:trPr>
        <w:tc>
          <w:tcPr>
            <w:tcW w:w="439" w:type="pct"/>
            <w:tcBorders>
              <w:right w:val="single" w:color="auto" w:sz="4" w:space="0"/>
            </w:tcBorders>
            <w:noWrap/>
            <w:vAlign w:val="center"/>
          </w:tcPr>
          <w:p>
            <w:pPr>
              <w:jc w:val="center"/>
              <w:rPr>
                <w:rFonts w:ascii="宋体" w:hAnsi="宋体"/>
              </w:rPr>
            </w:pPr>
            <w:r>
              <w:rPr>
                <w:rFonts w:hint="eastAsia" w:ascii="宋体" w:hAnsi="宋体"/>
              </w:rPr>
              <w:t>3</w:t>
            </w:r>
          </w:p>
        </w:tc>
        <w:tc>
          <w:tcPr>
            <w:tcW w:w="711" w:type="pct"/>
            <w:tcBorders>
              <w:left w:val="single" w:color="auto" w:sz="4" w:space="0"/>
            </w:tcBorders>
            <w:noWrap w:val="0"/>
            <w:vAlign w:val="center"/>
          </w:tcPr>
          <w:p>
            <w:pPr>
              <w:jc w:val="center"/>
              <w:rPr>
                <w:rFonts w:ascii="宋体" w:hAnsi="宋体"/>
              </w:rPr>
            </w:pPr>
            <w:r>
              <w:rPr>
                <w:rFonts w:hint="eastAsia" w:ascii="宋体" w:hAnsi="宋体"/>
              </w:rPr>
              <w:t>服务方案</w:t>
            </w:r>
          </w:p>
        </w:tc>
        <w:tc>
          <w:tcPr>
            <w:tcW w:w="3850" w:type="pct"/>
            <w:noWrap w:val="0"/>
            <w:vAlign w:val="center"/>
          </w:tcPr>
          <w:p>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pPr>
        <w:tabs>
          <w:tab w:val="left" w:pos="0"/>
        </w:tabs>
        <w:snapToGrid w:val="0"/>
        <w:spacing w:line="360" w:lineRule="auto"/>
        <w:ind w:firstLine="540" w:firstLineChars="225"/>
        <w:rPr>
          <w:rFonts w:ascii="宋体" w:hAnsi="宋体" w:cs="Arial"/>
          <w:sz w:val="24"/>
        </w:rPr>
      </w:pPr>
    </w:p>
    <w:p>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如商务报价中有以下情况之一的，按商务评审不合格处理：</w:t>
      </w:r>
    </w:p>
    <w:p>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p>
      <w:pPr>
        <w:tabs>
          <w:tab w:val="left" w:pos="0"/>
        </w:tabs>
        <w:snapToGrid w:val="0"/>
        <w:spacing w:line="360" w:lineRule="auto"/>
        <w:ind w:firstLine="540" w:firstLineChars="225"/>
        <w:rPr>
          <w:rFonts w:hint="eastAsia" w:ascii="宋体" w:hAnsi="宋体" w:cs="Arial"/>
          <w:b/>
          <w:sz w:val="24"/>
        </w:rPr>
      </w:pPr>
      <w:r>
        <w:rPr>
          <w:rFonts w:ascii="宋体" w:hAnsi="宋体" w:cs="Arial"/>
          <w:sz w:val="24"/>
        </w:rPr>
        <w:t>21.6</w:t>
      </w:r>
      <w:r>
        <w:rPr>
          <w:rFonts w:hint="eastAsia" w:ascii="宋体" w:hAnsi="宋体" w:cs="Arial"/>
          <w:sz w:val="24"/>
        </w:rPr>
        <w:t xml:space="preserve"> </w:t>
      </w:r>
      <w:r>
        <w:rPr>
          <w:rFonts w:hint="eastAsia" w:ascii="宋体" w:hAnsi="宋体" w:cs="Arial"/>
          <w:b/>
          <w:sz w:val="24"/>
        </w:rPr>
        <w:t>通过以上审查后的所有有效投标人中评标价最低的将被推荐为第一中标候选人，评标价次低的将被推荐为第二中标候选人。</w:t>
      </w:r>
    </w:p>
    <w:bookmarkEnd w:id="34"/>
    <w:p>
      <w:pPr>
        <w:pStyle w:val="10"/>
        <w:snapToGrid w:val="0"/>
        <w:spacing w:before="0"/>
        <w:ind w:firstLine="0" w:firstLineChars="0"/>
        <w:rPr>
          <w:rFonts w:ascii="宋体" w:hAnsi="宋体" w:cs="Arial"/>
          <w:b/>
        </w:rPr>
      </w:pPr>
      <w:bookmarkStart w:id="35" w:name="_Toc86216994"/>
      <w:r>
        <w:rPr>
          <w:rFonts w:ascii="宋体" w:hAnsi="宋体" w:cs="Arial"/>
          <w:b/>
        </w:rPr>
        <w:t>22. 评标内容的保密</w:t>
      </w:r>
    </w:p>
    <w:p>
      <w:pPr>
        <w:pStyle w:val="10"/>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pPr>
        <w:pStyle w:val="10"/>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pPr>
        <w:pStyle w:val="10"/>
        <w:snapToGrid w:val="0"/>
        <w:spacing w:before="0"/>
        <w:ind w:firstLine="0" w:firstLineChars="0"/>
        <w:rPr>
          <w:rFonts w:ascii="宋体" w:hAnsi="宋体" w:cs="Arial"/>
          <w:b/>
        </w:rPr>
      </w:pPr>
      <w:r>
        <w:rPr>
          <w:rFonts w:ascii="宋体" w:hAnsi="宋体" w:cs="Arial"/>
          <w:b/>
        </w:rPr>
        <w:t>23. 投标文件的澄清</w:t>
      </w:r>
    </w:p>
    <w:p>
      <w:pPr>
        <w:pStyle w:val="10"/>
        <w:snapToGrid w:val="0"/>
        <w:spacing w:before="0"/>
        <w:ind w:firstLine="480"/>
        <w:rPr>
          <w:rFonts w:ascii="宋体" w:hAnsi="宋体" w:cs="Arial"/>
        </w:rPr>
      </w:pPr>
      <w:r>
        <w:rPr>
          <w:rFonts w:hint="eastAsia" w:ascii="宋体" w:hAnsi="宋体" w:cs="Arial"/>
        </w:rPr>
        <w:t>评标期间，为</w:t>
      </w:r>
      <w:r>
        <w:rPr>
          <w:rFonts w:hint="eastAsia" w:ascii="宋体" w:hAnsi="宋体" w:cs="Arial"/>
          <w:lang w:eastAsia="zh-CN"/>
        </w:rPr>
        <w:t>有助于</w:t>
      </w:r>
      <w:r>
        <w:rPr>
          <w:rFonts w:hint="eastAsia" w:ascii="宋体" w:hAnsi="宋体" w:cs="Arial"/>
        </w:rPr>
        <w:t>投标文件的审查、评价和比较，评委会有权要求投标人对其投标文件进行澄清，但并非对每个投标人都</w:t>
      </w:r>
      <w:r>
        <w:rPr>
          <w:rFonts w:hint="eastAsia" w:ascii="宋体" w:hAnsi="宋体" w:cs="Arial"/>
          <w:lang w:eastAsia="zh-CN"/>
        </w:rPr>
        <w:t>作</w:t>
      </w:r>
      <w:r>
        <w:rPr>
          <w:rFonts w:hint="eastAsia" w:ascii="宋体" w:hAnsi="宋体" w:cs="Arial"/>
        </w:rPr>
        <w:t>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pPr>
        <w:pStyle w:val="5"/>
        <w:snapToGrid w:val="0"/>
        <w:spacing w:line="360" w:lineRule="auto"/>
        <w:ind w:firstLineChars="0"/>
        <w:rPr>
          <w:rFonts w:hint="eastAsia" w:ascii="宋体" w:hAnsi="宋体" w:cs="Arial"/>
          <w:b/>
        </w:rPr>
      </w:pPr>
      <w:r>
        <w:rPr>
          <w:rFonts w:ascii="宋体" w:hAnsi="宋体" w:cs="Arial"/>
          <w:b/>
        </w:rPr>
        <w:t xml:space="preserve">24. </w:t>
      </w:r>
      <w:r>
        <w:rPr>
          <w:rFonts w:hint="eastAsia" w:ascii="宋体" w:hAnsi="宋体" w:cs="Arial"/>
          <w:b/>
        </w:rPr>
        <w:t>招标失败</w:t>
      </w:r>
    </w:p>
    <w:p>
      <w:pPr>
        <w:pStyle w:val="10"/>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pPr>
        <w:pStyle w:val="10"/>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pPr>
        <w:pStyle w:val="10"/>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pPr>
        <w:pStyle w:val="10"/>
        <w:snapToGrid w:val="0"/>
        <w:spacing w:before="0"/>
        <w:ind w:firstLine="482"/>
        <w:rPr>
          <w:rFonts w:ascii="宋体" w:hAnsi="宋体" w:cs="Arial"/>
          <w:b/>
        </w:rPr>
      </w:pPr>
      <w:r>
        <w:rPr>
          <w:rFonts w:ascii="宋体" w:hAnsi="宋体" w:cs="Arial"/>
          <w:b/>
        </w:rPr>
        <w:t>（3）投标人的报价均超过了</w:t>
      </w:r>
      <w:r>
        <w:rPr>
          <w:rFonts w:hint="eastAsia" w:ascii="宋体" w:hAnsi="宋体" w:cs="Arial"/>
          <w:b/>
        </w:rPr>
        <w:t>最高限价</w:t>
      </w:r>
      <w:r>
        <w:rPr>
          <w:rFonts w:ascii="宋体" w:hAnsi="宋体" w:cs="Arial"/>
          <w:b/>
        </w:rPr>
        <w:t>的；</w:t>
      </w:r>
    </w:p>
    <w:p>
      <w:pPr>
        <w:pStyle w:val="10"/>
        <w:snapToGrid w:val="0"/>
        <w:spacing w:before="0"/>
        <w:ind w:firstLine="482"/>
        <w:rPr>
          <w:rFonts w:hint="eastAsia" w:ascii="宋体" w:hAnsi="宋体" w:cs="Arial"/>
          <w:b/>
        </w:rPr>
      </w:pPr>
      <w:r>
        <w:rPr>
          <w:rFonts w:ascii="宋体" w:hAnsi="宋体" w:cs="Arial"/>
          <w:b/>
        </w:rPr>
        <w:t>（4）因重大变故，采购任务取消的。</w:t>
      </w:r>
    </w:p>
    <w:p>
      <w:pPr>
        <w:pStyle w:val="10"/>
        <w:snapToGrid w:val="0"/>
        <w:spacing w:before="0"/>
        <w:ind w:firstLine="482"/>
        <w:rPr>
          <w:rFonts w:ascii="宋体" w:hAnsi="宋体" w:cs="Arial"/>
        </w:rPr>
      </w:pPr>
      <w:r>
        <w:rPr>
          <w:rFonts w:hint="eastAsia" w:ascii="宋体" w:hAnsi="宋体" w:cs="Arial"/>
          <w:b/>
        </w:rPr>
        <w:t>如出现上述第（1）款情况时，由评标委员会认定有效投标人的报价是否具有竞争性，如评标委员会认定有效投标人的报价均不具有竞争性，可拒绝全部投标，否则，可按招标文件载明的评标办法继续评审。</w:t>
      </w: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七、定标</w:t>
      </w:r>
      <w:bookmarkEnd w:id="35"/>
    </w:p>
    <w:p>
      <w:pPr>
        <w:pStyle w:val="5"/>
        <w:spacing w:line="460" w:lineRule="exact"/>
        <w:ind w:firstLineChars="0"/>
        <w:rPr>
          <w:rFonts w:ascii="宋体" w:hAnsi="宋体" w:cs="Arial"/>
          <w:b/>
        </w:rPr>
      </w:pPr>
      <w:r>
        <w:rPr>
          <w:rFonts w:ascii="宋体" w:hAnsi="宋体" w:cs="Arial"/>
          <w:b/>
        </w:rPr>
        <w:t>25. 定标</w:t>
      </w:r>
    </w:p>
    <w:p>
      <w:pPr>
        <w:spacing w:line="460" w:lineRule="exact"/>
        <w:ind w:firstLine="480"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pPr>
        <w:spacing w:line="460" w:lineRule="exact"/>
        <w:ind w:firstLine="480" w:firstLineChars="200"/>
        <w:rPr>
          <w:rFonts w:ascii="宋体" w:hAnsi="宋体" w:cs="Arial"/>
          <w:sz w:val="24"/>
          <w:lang w:val="zh-CN"/>
        </w:rPr>
      </w:pPr>
    </w:p>
    <w:p>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pPr>
        <w:tabs>
          <w:tab w:val="left" w:pos="0"/>
        </w:tabs>
        <w:spacing w:line="460" w:lineRule="exact"/>
        <w:rPr>
          <w:rFonts w:ascii="宋体" w:hAnsi="宋体" w:cs="Arial"/>
          <w:b/>
          <w:sz w:val="24"/>
        </w:rPr>
      </w:pPr>
      <w:r>
        <w:rPr>
          <w:rFonts w:ascii="宋体" w:hAnsi="宋体" w:cs="Arial"/>
          <w:b/>
          <w:sz w:val="24"/>
        </w:rPr>
        <w:t>26．中标书</w:t>
      </w:r>
    </w:p>
    <w:p>
      <w:pPr>
        <w:pStyle w:val="10"/>
        <w:tabs>
          <w:tab w:val="left" w:pos="0"/>
        </w:tabs>
        <w:spacing w:before="0" w:line="460" w:lineRule="exact"/>
        <w:ind w:firstLine="480"/>
        <w:rPr>
          <w:rFonts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pPr>
        <w:pStyle w:val="10"/>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pPr>
        <w:pStyle w:val="10"/>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pPr>
        <w:pStyle w:val="6"/>
        <w:spacing w:line="460" w:lineRule="exact"/>
        <w:ind w:firstLine="540"/>
        <w:rPr>
          <w:rFonts w:hAnsi="宋体" w:cs="Arial"/>
          <w:sz w:val="24"/>
        </w:rPr>
      </w:pPr>
      <w:r>
        <w:rPr>
          <w:rFonts w:hAnsi="宋体" w:cs="Arial"/>
          <w:sz w:val="24"/>
        </w:rPr>
        <w:t>26.4在中标人签订合同并生效后，招标人及时将未中标的结果通知其他投标人。</w:t>
      </w:r>
    </w:p>
    <w:p>
      <w:pPr>
        <w:tabs>
          <w:tab w:val="left" w:pos="0"/>
        </w:tabs>
        <w:spacing w:line="460" w:lineRule="exact"/>
        <w:rPr>
          <w:rFonts w:ascii="宋体" w:hAnsi="宋体" w:cs="Arial"/>
          <w:b/>
          <w:sz w:val="24"/>
        </w:rPr>
      </w:pPr>
      <w:r>
        <w:rPr>
          <w:rFonts w:ascii="宋体" w:hAnsi="宋体" w:cs="Arial"/>
          <w:b/>
          <w:sz w:val="24"/>
        </w:rPr>
        <w:t>27．合同的签订</w:t>
      </w:r>
    </w:p>
    <w:p>
      <w:pPr>
        <w:pStyle w:val="10"/>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pPr>
        <w:tabs>
          <w:tab w:val="left" w:pos="0"/>
        </w:tabs>
        <w:spacing w:line="460" w:lineRule="exact"/>
        <w:rPr>
          <w:rFonts w:ascii="宋体" w:hAnsi="宋体" w:cs="Arial"/>
          <w:b/>
          <w:sz w:val="24"/>
        </w:rPr>
      </w:pPr>
      <w:r>
        <w:rPr>
          <w:rFonts w:ascii="宋体" w:hAnsi="宋体" w:cs="Arial"/>
          <w:b/>
          <w:sz w:val="24"/>
        </w:rPr>
        <w:t>28．履约保证金</w:t>
      </w:r>
    </w:p>
    <w:p>
      <w:pPr>
        <w:pStyle w:val="6"/>
        <w:spacing w:line="460" w:lineRule="exact"/>
        <w:ind w:firstLine="540" w:firstLineChars="225"/>
        <w:jc w:val="both"/>
        <w:rPr>
          <w:rFonts w:hint="eastAsia" w:hAnsi="宋体" w:cs="Arial" w:eastAsiaTheme="minorEastAsia"/>
          <w:sz w:val="24"/>
          <w:lang w:eastAsia="zh-CN"/>
        </w:rPr>
      </w:pPr>
      <w:r>
        <w:rPr>
          <w:rFonts w:hint="eastAsia" w:hAnsi="宋体" w:cs="Arial"/>
          <w:sz w:val="24"/>
        </w:rPr>
        <w:t>不采用</w:t>
      </w:r>
    </w:p>
    <w:p>
      <w:pPr>
        <w:pStyle w:val="10"/>
        <w:spacing w:before="0" w:line="460" w:lineRule="exact"/>
        <w:ind w:firstLine="0" w:firstLineChars="0"/>
        <w:rPr>
          <w:rFonts w:ascii="宋体" w:hAnsi="宋体" w:cs="Arial"/>
          <w:b/>
          <w:szCs w:val="24"/>
        </w:rPr>
      </w:pPr>
      <w:r>
        <w:rPr>
          <w:rFonts w:ascii="宋体" w:hAnsi="宋体" w:cs="Arial"/>
          <w:b/>
          <w:szCs w:val="24"/>
        </w:rPr>
        <w:t>29.结算方式</w:t>
      </w:r>
    </w:p>
    <w:p>
      <w:pPr>
        <w:pStyle w:val="6"/>
        <w:spacing w:line="460" w:lineRule="exact"/>
        <w:ind w:firstLine="540" w:firstLineChars="225"/>
        <w:jc w:val="both"/>
        <w:rPr>
          <w:rFonts w:hint="eastAsia" w:hAnsi="宋体" w:cs="Arial" w:eastAsiaTheme="minorEastAsia"/>
          <w:sz w:val="24"/>
          <w:lang w:eastAsia="zh-CN"/>
        </w:rPr>
      </w:pPr>
      <w:r>
        <w:rPr>
          <w:rFonts w:hint="eastAsia" w:hAnsi="宋体" w:cs="Arial"/>
          <w:sz w:val="24"/>
        </w:rPr>
        <w:t>详见合同条款</w:t>
      </w:r>
    </w:p>
    <w:p>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pPr>
        <w:pStyle w:val="10"/>
        <w:keepNext w:val="0"/>
        <w:keepLines w:val="0"/>
        <w:pageBreakBefore w:val="0"/>
        <w:widowControl w:val="0"/>
        <w:kinsoku/>
        <w:wordWrap/>
        <w:overflowPunct/>
        <w:topLinePunct w:val="0"/>
        <w:bidi w:val="0"/>
        <w:snapToGrid w:val="0"/>
        <w:spacing w:before="0" w:line="440" w:lineRule="exact"/>
        <w:ind w:firstLine="0" w:firstLineChars="0"/>
        <w:textAlignment w:val="auto"/>
        <w:rPr>
          <w:rFonts w:ascii="宋体" w:hAnsi="宋体" w:cs="Arial"/>
          <w:b/>
        </w:rPr>
      </w:pPr>
      <w:bookmarkStart w:id="39" w:name="_Toc155322445"/>
      <w:bookmarkStart w:id="40" w:name="_Toc344384219"/>
      <w:bookmarkStart w:id="41" w:name="_Toc228002620"/>
      <w:bookmarkStart w:id="42" w:name="_Toc243928845"/>
      <w:r>
        <w:rPr>
          <w:rFonts w:hint="eastAsia" w:ascii="宋体" w:hAnsi="宋体" w:cs="Arial"/>
          <w:b/>
        </w:rPr>
        <w:t>一、</w:t>
      </w:r>
      <w:bookmarkEnd w:id="39"/>
      <w:bookmarkEnd w:id="40"/>
      <w:bookmarkEnd w:id="41"/>
      <w:bookmarkEnd w:id="42"/>
      <w:r>
        <w:rPr>
          <w:rFonts w:hint="eastAsia" w:ascii="宋体" w:hAnsi="宋体" w:cs="Arial"/>
          <w:b/>
        </w:rPr>
        <w:t>项目简介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sz w:val="24"/>
        </w:rPr>
      </w:pPr>
      <w:r>
        <w:rPr>
          <w:rFonts w:hint="eastAsia" w:ascii="宋体" w:hAnsi="宋体"/>
          <w:sz w:val="24"/>
          <w:lang w:val="en-US" w:eastAsia="zh-CN"/>
        </w:rPr>
        <w:t>温州市瓯江引水工程三标段EPC工程总承包</w:t>
      </w:r>
      <w:r>
        <w:rPr>
          <w:rFonts w:hint="eastAsia" w:ascii="宋体" w:hAnsi="宋体"/>
          <w:sz w:val="24"/>
        </w:rPr>
        <w:t>项目</w:t>
      </w:r>
      <w:r>
        <w:rPr>
          <w:rFonts w:hint="eastAsia" w:ascii="宋体" w:hAnsi="宋体"/>
          <w:sz w:val="24"/>
          <w:lang w:eastAsia="zh-CN"/>
        </w:rPr>
        <w:t>因工程施工需要，需采购</w:t>
      </w:r>
      <w:r>
        <w:rPr>
          <w:rFonts w:hint="eastAsia" w:ascii="宋体" w:hAnsi="宋体"/>
          <w:sz w:val="24"/>
          <w:lang w:val="en-US" w:eastAsia="zh-CN"/>
        </w:rPr>
        <w:t>钢筋混凝土管节材料</w:t>
      </w:r>
      <w:r>
        <w:rPr>
          <w:rFonts w:hint="eastAsia" w:ascii="宋体" w:hAnsi="宋体"/>
          <w:sz w:val="24"/>
        </w:rPr>
        <w:t>，</w:t>
      </w:r>
      <w:r>
        <w:rPr>
          <w:rFonts w:hint="eastAsia" w:ascii="宋体" w:hAnsi="宋体"/>
          <w:sz w:val="24"/>
          <w:lang w:eastAsia="zh-CN"/>
        </w:rPr>
        <w:t>且采购工作</w:t>
      </w:r>
      <w:r>
        <w:rPr>
          <w:rFonts w:hint="eastAsia" w:ascii="宋体" w:hAnsi="宋体"/>
          <w:sz w:val="24"/>
        </w:rPr>
        <w:t>已完成审批，</w:t>
      </w:r>
      <w:r>
        <w:rPr>
          <w:rFonts w:hint="eastAsia" w:ascii="宋体" w:hAnsi="宋体"/>
          <w:sz w:val="24"/>
          <w:lang w:eastAsia="zh-CN"/>
        </w:rPr>
        <w:t>采购</w:t>
      </w:r>
      <w:r>
        <w:rPr>
          <w:rFonts w:hint="eastAsia" w:ascii="宋体" w:hAnsi="宋体"/>
          <w:sz w:val="24"/>
        </w:rPr>
        <w:t>资金</w:t>
      </w:r>
      <w:r>
        <w:rPr>
          <w:rFonts w:hint="eastAsia" w:ascii="宋体" w:hAnsi="宋体"/>
          <w:sz w:val="24"/>
          <w:lang w:eastAsia="zh-CN"/>
        </w:rPr>
        <w:t>来源：</w:t>
      </w:r>
      <w:r>
        <w:rPr>
          <w:rFonts w:hint="eastAsia" w:ascii="宋体" w:hAnsi="宋体"/>
          <w:sz w:val="24"/>
        </w:rPr>
        <w:t>浙江省隧道工程集团有限公司</w:t>
      </w:r>
      <w:r>
        <w:rPr>
          <w:rFonts w:hint="eastAsia" w:ascii="宋体" w:hAnsi="宋体"/>
          <w:sz w:val="24"/>
          <w:lang w:val="en-US" w:eastAsia="zh-CN"/>
        </w:rPr>
        <w:t>温州市瓯江引水工程三标段EPC工程总承包</w:t>
      </w:r>
      <w:r>
        <w:rPr>
          <w:rFonts w:hint="eastAsia" w:ascii="宋体" w:hAnsi="宋体"/>
          <w:sz w:val="24"/>
        </w:rPr>
        <w:t>项目</w:t>
      </w:r>
      <w:r>
        <w:rPr>
          <w:rFonts w:hint="eastAsia" w:ascii="宋体" w:hAnsi="宋体"/>
          <w:sz w:val="24"/>
          <w:lang w:eastAsia="zh-CN"/>
        </w:rPr>
        <w:t>工程建设资金</w:t>
      </w:r>
      <w:r>
        <w:rPr>
          <w:rFonts w:hint="eastAsia" w:ascii="宋体" w:hAnsi="宋体"/>
          <w:sz w:val="24"/>
        </w:rPr>
        <w:t>。</w:t>
      </w:r>
    </w:p>
    <w:p>
      <w:pPr>
        <w:pStyle w:val="10"/>
        <w:keepNext w:val="0"/>
        <w:keepLines w:val="0"/>
        <w:pageBreakBefore w:val="0"/>
        <w:widowControl w:val="0"/>
        <w:kinsoku/>
        <w:wordWrap/>
        <w:overflowPunct/>
        <w:topLinePunct w:val="0"/>
        <w:bidi w:val="0"/>
        <w:snapToGrid w:val="0"/>
        <w:spacing w:before="0" w:line="440" w:lineRule="exact"/>
        <w:ind w:firstLine="0" w:firstLineChars="0"/>
        <w:textAlignment w:val="auto"/>
        <w:rPr>
          <w:rFonts w:ascii="宋体" w:hAnsi="宋体" w:cs="Arial"/>
          <w:b/>
        </w:rPr>
      </w:pPr>
      <w:r>
        <w:rPr>
          <w:rFonts w:hint="eastAsia" w:ascii="宋体" w:hAnsi="宋体" w:cs="Arial"/>
          <w:b/>
        </w:rPr>
        <w:t>二、物资材料采购概况</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sz w:val="24"/>
        </w:rPr>
      </w:pPr>
      <w:r>
        <w:rPr>
          <w:rFonts w:hint="eastAsia" w:ascii="宋体" w:hAnsi="宋体"/>
          <w:color w:val="auto"/>
          <w:sz w:val="24"/>
        </w:rPr>
        <w:t>品名：</w:t>
      </w:r>
      <w:r>
        <w:rPr>
          <w:rFonts w:hint="eastAsia" w:ascii="宋体" w:hAnsi="宋体"/>
          <w:color w:val="auto"/>
          <w:sz w:val="24"/>
          <w:lang w:val="en-US" w:eastAsia="zh-CN"/>
        </w:rPr>
        <w:t>钢筋混凝土管节，规格型号：DN4000型，</w:t>
      </w:r>
      <w:r>
        <w:rPr>
          <w:rFonts w:hint="eastAsia" w:ascii="宋体" w:hAnsi="宋体"/>
          <w:color w:val="auto"/>
          <w:sz w:val="24"/>
        </w:rPr>
        <w:t>暂定数量：</w:t>
      </w:r>
      <w:r>
        <w:rPr>
          <w:rFonts w:hint="eastAsia" w:ascii="宋体" w:hAnsi="宋体"/>
          <w:color w:val="auto"/>
          <w:sz w:val="24"/>
          <w:lang w:val="en-US" w:eastAsia="zh-CN"/>
        </w:rPr>
        <w:t>538m(含特殊管节）</w:t>
      </w:r>
      <w:r>
        <w:rPr>
          <w:rFonts w:hint="eastAsia" w:ascii="宋体" w:hAnsi="宋体"/>
          <w:sz w:val="24"/>
        </w:rPr>
        <w:t>。</w:t>
      </w:r>
    </w:p>
    <w:p>
      <w:pPr>
        <w:pStyle w:val="10"/>
        <w:keepNext w:val="0"/>
        <w:keepLines w:val="0"/>
        <w:pageBreakBefore w:val="0"/>
        <w:widowControl w:val="0"/>
        <w:kinsoku/>
        <w:wordWrap/>
        <w:overflowPunct/>
        <w:topLinePunct w:val="0"/>
        <w:bidi w:val="0"/>
        <w:snapToGrid w:val="0"/>
        <w:spacing w:before="0" w:line="440" w:lineRule="exact"/>
        <w:ind w:firstLine="0" w:firstLineChars="0"/>
        <w:textAlignment w:val="auto"/>
        <w:rPr>
          <w:rFonts w:hint="default" w:ascii="宋体" w:hAnsi="宋体" w:cs="Arial"/>
          <w:b/>
          <w:color w:val="FF0000"/>
          <w:lang w:val="en-US" w:eastAsia="zh-CN"/>
        </w:rPr>
      </w:pPr>
      <w:r>
        <w:rPr>
          <w:rFonts w:hint="eastAsia" w:ascii="宋体" w:hAnsi="宋体" w:cs="Arial"/>
          <w:b/>
          <w:color w:val="FF0000"/>
          <w:lang w:val="en-US" w:eastAsia="zh-CN"/>
        </w:rPr>
        <w:t>三、技术要求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1、管道管材</w:t>
      </w:r>
    </w:p>
    <w:p>
      <w:pPr>
        <w:keepNext w:val="0"/>
        <w:keepLines w:val="0"/>
        <w:pageBreakBefore w:val="0"/>
        <w:widowControl w:val="0"/>
        <w:kinsoku/>
        <w:wordWrap/>
        <w:overflowPunct/>
        <w:topLinePunct w:val="0"/>
        <w:bidi w:val="0"/>
        <w:adjustRightInd w:val="0"/>
        <w:snapToGrid w:val="0"/>
        <w:spacing w:line="440" w:lineRule="exact"/>
        <w:ind w:firstLine="480" w:firstLineChars="200"/>
        <w:jc w:val="both"/>
        <w:textAlignment w:val="auto"/>
        <w:rPr>
          <w:rFonts w:hint="default" w:ascii="宋体" w:hAnsi="宋体"/>
          <w:color w:val="auto"/>
          <w:sz w:val="24"/>
          <w:lang w:val="en-US" w:eastAsia="zh-CN"/>
        </w:rPr>
      </w:pPr>
      <w:r>
        <w:rPr>
          <w:rFonts w:hint="eastAsia" w:ascii="宋体" w:hAnsi="宋体"/>
          <w:color w:val="auto"/>
          <w:sz w:val="24"/>
          <w:lang w:val="en-US" w:eastAsia="zh-CN"/>
        </w:rPr>
        <w:t>顶管套管采用承插口 III 级钢筋混凝土管，管材必须符合《顶进施工法用钢筋混凝土排水管》（</w:t>
      </w:r>
      <w:r>
        <w:rPr>
          <w:rFonts w:hint="default" w:ascii="宋体" w:hAnsi="宋体"/>
          <w:color w:val="auto"/>
          <w:sz w:val="24"/>
          <w:lang w:val="en-US" w:eastAsia="zh-CN"/>
        </w:rPr>
        <w:t>JCT640-2010</w:t>
      </w:r>
      <w:r>
        <w:rPr>
          <w:rFonts w:hint="eastAsia" w:ascii="宋体" w:hAnsi="宋体"/>
          <w:color w:val="auto"/>
          <w:sz w:val="24"/>
          <w:lang w:val="en-US" w:eastAsia="zh-CN"/>
        </w:rPr>
        <w:t>）、《混凝土和钢筋混凝土排水管》（</w:t>
      </w:r>
      <w:r>
        <w:rPr>
          <w:rFonts w:hint="default" w:ascii="宋体" w:hAnsi="宋体"/>
          <w:color w:val="auto"/>
          <w:sz w:val="24"/>
          <w:lang w:val="en-US" w:eastAsia="zh-CN"/>
        </w:rPr>
        <w:t>GB/T11836-2009</w:t>
      </w:r>
      <w:r>
        <w:rPr>
          <w:rFonts w:hint="eastAsia" w:ascii="宋体" w:hAnsi="宋体"/>
          <w:color w:val="auto"/>
          <w:sz w:val="24"/>
          <w:lang w:val="en-US" w:eastAsia="zh-CN"/>
        </w:rPr>
        <w:t>）及《超大型钢筋混凝土顶管管节制作、施工及验收规程》 （</w:t>
      </w:r>
      <w:r>
        <w:rPr>
          <w:rFonts w:hint="default" w:ascii="宋体" w:hAnsi="宋体"/>
          <w:color w:val="auto"/>
          <w:sz w:val="24"/>
          <w:lang w:val="en-US" w:eastAsia="zh-CN"/>
        </w:rPr>
        <w:t>DG/TJ08-2221-2016</w:t>
      </w:r>
      <w:r>
        <w:rPr>
          <w:rFonts w:hint="eastAsia" w:ascii="宋体" w:hAnsi="宋体"/>
          <w:color w:val="auto"/>
          <w:sz w:val="24"/>
          <w:lang w:val="en-US" w:eastAsia="zh-CN"/>
        </w:rPr>
        <w:t>）的相关规定，需符合顶进施工法施工及满足荷载强度要求。</w:t>
      </w:r>
      <w:r>
        <w:rPr>
          <w:rFonts w:hint="default" w:ascii="宋体" w:hAnsi="宋体"/>
          <w:color w:val="auto"/>
          <w:sz w:val="24"/>
          <w:lang w:val="en-US" w:eastAsia="zh-CN"/>
        </w:rPr>
        <w:t xml:space="preserve"> </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2、管道接口</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color w:val="auto"/>
          <w:sz w:val="24"/>
          <w:lang w:val="en-US" w:eastAsia="zh-CN"/>
        </w:rPr>
      </w:pPr>
      <w:r>
        <w:rPr>
          <w:rFonts w:hint="eastAsia" w:ascii="宋体" w:hAnsi="宋体"/>
          <w:color w:val="auto"/>
          <w:sz w:val="24"/>
          <w:lang w:val="en-US" w:eastAsia="zh-CN"/>
        </w:rPr>
        <w:t xml:space="preserve">III 级钢筋混凝土套管采用 </w:t>
      </w:r>
      <w:r>
        <w:rPr>
          <w:rFonts w:hint="default" w:ascii="宋体" w:hAnsi="宋体"/>
          <w:color w:val="auto"/>
          <w:sz w:val="24"/>
          <w:lang w:val="en-US" w:eastAsia="zh-CN"/>
        </w:rPr>
        <w:t xml:space="preserve">F </w:t>
      </w:r>
      <w:r>
        <w:rPr>
          <w:rFonts w:hint="eastAsia" w:ascii="宋体" w:hAnsi="宋体"/>
          <w:color w:val="auto"/>
          <w:sz w:val="24"/>
          <w:lang w:val="en-US" w:eastAsia="zh-CN"/>
        </w:rPr>
        <w:t xml:space="preserve">型钢承口，连接方式采用 </w:t>
      </w:r>
      <w:r>
        <w:rPr>
          <w:rFonts w:hint="default" w:ascii="宋体" w:hAnsi="宋体"/>
          <w:color w:val="auto"/>
          <w:sz w:val="24"/>
          <w:lang w:val="en-US" w:eastAsia="zh-CN"/>
        </w:rPr>
        <w:t xml:space="preserve">2 </w:t>
      </w:r>
      <w:r>
        <w:rPr>
          <w:rFonts w:hint="eastAsia" w:ascii="宋体" w:hAnsi="宋体"/>
          <w:color w:val="auto"/>
          <w:sz w:val="24"/>
          <w:lang w:val="en-US" w:eastAsia="zh-CN"/>
        </w:rPr>
        <w:t>道楔形橡胶密封圈，详见《给水排水工程顶管技术规范》 （</w:t>
      </w:r>
      <w:r>
        <w:rPr>
          <w:rFonts w:hint="default" w:ascii="宋体" w:hAnsi="宋体"/>
          <w:color w:val="auto"/>
          <w:sz w:val="24"/>
          <w:lang w:val="en-US" w:eastAsia="zh-CN"/>
        </w:rPr>
        <w:t>CECS246:2008</w:t>
      </w:r>
      <w:r>
        <w:rPr>
          <w:rFonts w:hint="eastAsia" w:ascii="宋体" w:hAnsi="宋体"/>
          <w:color w:val="auto"/>
          <w:sz w:val="24"/>
          <w:lang w:val="en-US" w:eastAsia="zh-CN"/>
        </w:rPr>
        <w:t>）、《顶进施工法用钢筋混凝土排水管》（</w:t>
      </w:r>
      <w:r>
        <w:rPr>
          <w:rFonts w:hint="default" w:ascii="宋体" w:hAnsi="宋体"/>
          <w:color w:val="auto"/>
          <w:sz w:val="24"/>
          <w:lang w:val="en-US" w:eastAsia="zh-CN"/>
        </w:rPr>
        <w:t>JCT640-2010</w:t>
      </w:r>
      <w:r>
        <w:rPr>
          <w:rFonts w:hint="eastAsia" w:ascii="宋体" w:hAnsi="宋体"/>
          <w:color w:val="auto"/>
          <w:sz w:val="24"/>
          <w:lang w:val="en-US" w:eastAsia="zh-CN"/>
        </w:rPr>
        <w:t>）和《超大型钢筋混凝土顶管管节制作、施工及 验收规程》</w:t>
      </w:r>
      <w:r>
        <w:rPr>
          <w:rFonts w:hint="default" w:ascii="宋体" w:hAnsi="宋体"/>
          <w:color w:val="auto"/>
          <w:sz w:val="24"/>
          <w:lang w:val="en-US" w:eastAsia="zh-CN"/>
        </w:rPr>
        <w:t>DG/TJ08-2221-2016</w:t>
      </w:r>
      <w:r>
        <w:rPr>
          <w:rFonts w:hint="eastAsia" w:ascii="宋体" w:hAnsi="宋体"/>
          <w:color w:val="auto"/>
          <w:sz w:val="24"/>
          <w:lang w:val="en-US" w:eastAsia="zh-CN"/>
        </w:rPr>
        <w:t>。</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3、钢筋混凝土管防腐（外壁先做，内壁顶管完工后施作）</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color w:val="auto"/>
          <w:sz w:val="24"/>
          <w:lang w:val="en-US" w:eastAsia="zh-CN"/>
        </w:rPr>
      </w:pPr>
      <w:r>
        <w:rPr>
          <w:rFonts w:hint="eastAsia" w:ascii="宋体" w:hAnsi="宋体"/>
          <w:color w:val="auto"/>
          <w:sz w:val="24"/>
          <w:lang w:val="en-US" w:eastAsia="zh-CN"/>
        </w:rPr>
        <w:t xml:space="preserve">钢筋混凝土管外壁表面应清洁、干燥、无油脂，防腐材料采用环氧沥青漆。防腐层结构为喷漆两道，第 1 道是渗 透层干膜厚度为 </w:t>
      </w:r>
      <w:r>
        <w:rPr>
          <w:rFonts w:hint="default" w:ascii="宋体" w:hAnsi="宋体"/>
          <w:color w:val="auto"/>
          <w:sz w:val="24"/>
          <w:lang w:val="en-US" w:eastAsia="zh-CN"/>
        </w:rPr>
        <w:t>50um</w:t>
      </w:r>
      <w:r>
        <w:rPr>
          <w:rFonts w:hint="eastAsia" w:ascii="宋体" w:hAnsi="宋体"/>
          <w:color w:val="auto"/>
          <w:sz w:val="24"/>
          <w:lang w:val="en-US" w:eastAsia="zh-CN"/>
        </w:rPr>
        <w:t xml:space="preserve">；第 </w:t>
      </w:r>
      <w:r>
        <w:rPr>
          <w:rFonts w:hint="default" w:ascii="宋体" w:hAnsi="宋体"/>
          <w:color w:val="auto"/>
          <w:sz w:val="24"/>
          <w:lang w:val="en-US" w:eastAsia="zh-CN"/>
        </w:rPr>
        <w:t xml:space="preserve">2 </w:t>
      </w:r>
      <w:r>
        <w:rPr>
          <w:rFonts w:hint="eastAsia" w:ascii="宋体" w:hAnsi="宋体"/>
          <w:color w:val="auto"/>
          <w:sz w:val="24"/>
          <w:lang w:val="en-US" w:eastAsia="zh-CN"/>
        </w:rPr>
        <w:t xml:space="preserve">道是面漆，干膜厚度为 </w:t>
      </w:r>
      <w:r>
        <w:rPr>
          <w:rFonts w:hint="default" w:ascii="宋体" w:hAnsi="宋体"/>
          <w:color w:val="auto"/>
          <w:sz w:val="24"/>
          <w:lang w:val="en-US" w:eastAsia="zh-CN"/>
        </w:rPr>
        <w:t>150um</w:t>
      </w:r>
      <w:r>
        <w:rPr>
          <w:rFonts w:hint="eastAsia" w:ascii="宋体" w:hAnsi="宋体"/>
          <w:color w:val="auto"/>
          <w:sz w:val="24"/>
          <w:lang w:val="en-US" w:eastAsia="zh-CN"/>
        </w:rPr>
        <w:t>。</w:t>
      </w:r>
      <w:r>
        <w:rPr>
          <w:rFonts w:hint="default" w:ascii="宋体" w:hAnsi="宋体"/>
          <w:color w:val="auto"/>
          <w:sz w:val="24"/>
          <w:lang w:val="en-US" w:eastAsia="zh-CN"/>
        </w:rPr>
        <w:t xml:space="preserve"> </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color w:val="auto"/>
          <w:sz w:val="24"/>
          <w:lang w:val="en-US" w:eastAsia="zh-CN"/>
        </w:rPr>
      </w:pPr>
      <w:r>
        <w:rPr>
          <w:rFonts w:hint="eastAsia" w:ascii="宋体" w:hAnsi="宋体"/>
          <w:color w:val="auto"/>
          <w:sz w:val="24"/>
          <w:lang w:val="en-US" w:eastAsia="zh-CN"/>
        </w:rPr>
        <w:t xml:space="preserve">钢筋混凝土管内壁应清洁、干燥、无油脂和松散水泥，防腐材料采用环氧沥青漆。底漆干膜厚度为 </w:t>
      </w:r>
      <w:r>
        <w:rPr>
          <w:rFonts w:hint="default" w:ascii="宋体" w:hAnsi="宋体"/>
          <w:color w:val="auto"/>
          <w:sz w:val="24"/>
          <w:lang w:val="en-US" w:eastAsia="zh-CN"/>
        </w:rPr>
        <w:t>50um</w:t>
      </w:r>
      <w:r>
        <w:rPr>
          <w:rFonts w:hint="eastAsia" w:ascii="宋体" w:hAnsi="宋体"/>
          <w:color w:val="auto"/>
          <w:sz w:val="24"/>
          <w:lang w:val="en-US" w:eastAsia="zh-CN"/>
        </w:rPr>
        <w:t xml:space="preserve">，自然固化 </w:t>
      </w:r>
      <w:r>
        <w:rPr>
          <w:rFonts w:hint="default" w:ascii="宋体" w:hAnsi="宋体"/>
          <w:color w:val="auto"/>
          <w:sz w:val="24"/>
          <w:lang w:val="en-US" w:eastAsia="zh-CN"/>
        </w:rPr>
        <w:t xml:space="preserve">24h </w:t>
      </w:r>
      <w:r>
        <w:rPr>
          <w:rFonts w:hint="eastAsia" w:ascii="宋体" w:hAnsi="宋体"/>
          <w:color w:val="auto"/>
          <w:sz w:val="24"/>
          <w:lang w:val="en-US" w:eastAsia="zh-CN"/>
        </w:rPr>
        <w:t xml:space="preserve">后，在均匀、平整地喷涂面漆，两次面漆干膜厚度要求 </w:t>
      </w:r>
      <w:r>
        <w:rPr>
          <w:rFonts w:hint="default" w:ascii="宋体" w:hAnsi="宋体"/>
          <w:color w:val="auto"/>
          <w:sz w:val="24"/>
          <w:lang w:val="en-US" w:eastAsia="zh-CN"/>
        </w:rPr>
        <w:t>150um</w:t>
      </w:r>
      <w:r>
        <w:rPr>
          <w:rFonts w:hint="eastAsia" w:ascii="宋体" w:hAnsi="宋体"/>
          <w:color w:val="auto"/>
          <w:sz w:val="24"/>
          <w:lang w:val="en-US" w:eastAsia="zh-CN"/>
        </w:rPr>
        <w:t xml:space="preserve">，底、面漆两道厚度要求达到 </w:t>
      </w:r>
      <w:r>
        <w:rPr>
          <w:rFonts w:hint="default" w:ascii="宋体" w:hAnsi="宋体"/>
          <w:color w:val="auto"/>
          <w:sz w:val="24"/>
          <w:lang w:val="en-US" w:eastAsia="zh-CN"/>
        </w:rPr>
        <w:t>200um</w:t>
      </w:r>
      <w:r>
        <w:rPr>
          <w:rFonts w:hint="eastAsia" w:ascii="宋体" w:hAnsi="宋体"/>
          <w:color w:val="auto"/>
          <w:sz w:val="24"/>
          <w:lang w:val="en-US" w:eastAsia="zh-CN"/>
        </w:rPr>
        <w:t>。</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cs="Arial"/>
          <w:b/>
          <w:lang w:val="en-US" w:eastAsia="zh-CN"/>
        </w:rPr>
      </w:pPr>
      <w:r>
        <w:rPr>
          <w:rFonts w:hint="eastAsia" w:ascii="宋体" w:hAnsi="宋体"/>
          <w:color w:val="auto"/>
          <w:sz w:val="24"/>
          <w:lang w:val="en-US" w:eastAsia="zh-CN"/>
        </w:rPr>
        <w:t>4、其他技术要求详见附图。</w:t>
      </w:r>
    </w:p>
    <w:p>
      <w:pPr>
        <w:pStyle w:val="10"/>
        <w:keepNext w:val="0"/>
        <w:keepLines w:val="0"/>
        <w:pageBreakBefore w:val="0"/>
        <w:widowControl w:val="0"/>
        <w:kinsoku/>
        <w:wordWrap/>
        <w:overflowPunct/>
        <w:topLinePunct w:val="0"/>
        <w:bidi w:val="0"/>
        <w:snapToGrid w:val="0"/>
        <w:spacing w:before="0" w:line="440" w:lineRule="exact"/>
        <w:ind w:firstLine="0" w:firstLineChars="0"/>
        <w:textAlignment w:val="auto"/>
        <w:rPr>
          <w:rFonts w:ascii="宋体" w:hAnsi="宋体" w:cs="Arial"/>
          <w:b/>
        </w:rPr>
      </w:pPr>
      <w:r>
        <w:rPr>
          <w:rFonts w:hint="eastAsia" w:ascii="宋体" w:hAnsi="宋体" w:cs="Arial"/>
          <w:b/>
          <w:lang w:val="en-US" w:eastAsia="zh-CN"/>
        </w:rPr>
        <w:t>四</w:t>
      </w:r>
      <w:r>
        <w:rPr>
          <w:rFonts w:hint="eastAsia" w:ascii="宋体" w:hAnsi="宋体" w:cs="Arial"/>
          <w:b/>
        </w:rPr>
        <w:t>、投标人资格要求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b/>
          <w:bCs/>
          <w:sz w:val="24"/>
        </w:rPr>
      </w:pPr>
      <w:r>
        <w:rPr>
          <w:rFonts w:hint="eastAsia" w:ascii="宋体" w:hAnsi="宋体"/>
          <w:b/>
          <w:bCs/>
          <w:sz w:val="24"/>
        </w:rPr>
        <w:t>1、通用资质要求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sz w:val="24"/>
        </w:rPr>
      </w:pPr>
      <w:r>
        <w:rPr>
          <w:rFonts w:hint="eastAsia" w:ascii="宋体" w:hAnsi="宋体"/>
          <w:sz w:val="24"/>
        </w:rPr>
        <w:t>（1）企业法人营业执照中注明的经营范围具有本次招标内容且在有效期内的；</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sz w:val="24"/>
        </w:rPr>
      </w:pPr>
      <w:r>
        <w:rPr>
          <w:rFonts w:hint="eastAsia" w:ascii="宋体" w:hAnsi="宋体"/>
          <w:sz w:val="24"/>
        </w:rPr>
        <w:t>（3）投标截止前，在“中国政府采购网”</w:t>
      </w:r>
      <w:r>
        <w:rPr>
          <w:rFonts w:hint="eastAsia" w:ascii="宋体" w:hAnsi="宋体"/>
          <w:sz w:val="24"/>
          <w:lang w:eastAsia="zh-CN"/>
        </w:rPr>
        <w:t>（</w:t>
      </w:r>
      <w:r>
        <w:rPr>
          <w:rFonts w:hint="eastAsia" w:ascii="宋体" w:hAnsi="宋体"/>
          <w:sz w:val="24"/>
        </w:rPr>
        <w:t>www.ccgp.gov.cn)被列入政府采购严重违法失信行为记录名单中的投标人且在处罚有效期内的投标人，资格审查时不予以通过。</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sz w:val="24"/>
        </w:rPr>
      </w:pPr>
      <w:r>
        <w:rPr>
          <w:rFonts w:hint="eastAsia" w:ascii="宋体" w:hAnsi="宋体"/>
          <w:sz w:val="24"/>
        </w:rPr>
        <w:t>（4）投标截止前，在“浙江政府采购网”（www.zjzfcg.gov.cn）“曝光台”中被曝光且在处罚有效期内的投标人，资格审查时不予以通过。</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sz w:val="24"/>
        </w:rPr>
      </w:pPr>
      <w:r>
        <w:rPr>
          <w:rFonts w:hint="eastAsia" w:ascii="宋体" w:hAnsi="宋体"/>
          <w:sz w:val="24"/>
        </w:rPr>
        <w:t>（6）本项目不接受联合体投标，不允许转包和分包。</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b/>
          <w:bCs/>
          <w:sz w:val="24"/>
        </w:rPr>
      </w:pPr>
      <w:r>
        <w:rPr>
          <w:rFonts w:hint="eastAsia" w:ascii="宋体" w:hAnsi="宋体"/>
          <w:b/>
          <w:bCs/>
          <w:sz w:val="24"/>
        </w:rPr>
        <w:t>2、专用资质要求</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）提供有效的营业执照副本（复印件），经营范围应包括</w:t>
      </w:r>
      <w:r>
        <w:rPr>
          <w:rFonts w:hint="eastAsia" w:ascii="宋体" w:hAnsi="宋体" w:cs="宋体"/>
          <w:kern w:val="0"/>
          <w:sz w:val="24"/>
          <w:lang w:val="en-US" w:eastAsia="zh-CN"/>
        </w:rPr>
        <w:t>钢筋砼预制构件生产销售</w:t>
      </w:r>
      <w:r>
        <w:rPr>
          <w:rFonts w:hint="eastAsia" w:ascii="宋体" w:hAnsi="宋体" w:cs="宋体"/>
          <w:kern w:val="0"/>
          <w:sz w:val="24"/>
        </w:rPr>
        <w:t>或其他规定的特殊许可证等等。</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w:t>
      </w:r>
      <w:r>
        <w:rPr>
          <w:rFonts w:hint="eastAsia" w:ascii="宋体" w:hAnsi="宋体" w:cs="宋体"/>
          <w:kern w:val="0"/>
          <w:sz w:val="24"/>
          <w:lang w:val="en-US" w:eastAsia="zh-CN"/>
        </w:rPr>
        <w:t>2021</w:t>
      </w:r>
      <w:r>
        <w:rPr>
          <w:rFonts w:hint="eastAsia" w:ascii="宋体" w:hAnsi="宋体" w:cs="宋体"/>
          <w:kern w:val="0"/>
          <w:sz w:val="24"/>
        </w:rPr>
        <w:t>年1月1日以来具备与本次招标项目相关的</w:t>
      </w:r>
      <w:r>
        <w:rPr>
          <w:rFonts w:hint="eastAsia" w:ascii="宋体" w:hAnsi="宋体" w:cs="宋体"/>
          <w:kern w:val="0"/>
          <w:sz w:val="24"/>
          <w:lang w:eastAsia="zh-CN"/>
        </w:rPr>
        <w:t>钢筋混凝土管节</w:t>
      </w:r>
      <w:r>
        <w:rPr>
          <w:rFonts w:hint="eastAsia" w:ascii="宋体" w:hAnsi="宋体" w:cs="宋体"/>
          <w:kern w:val="0"/>
          <w:sz w:val="24"/>
        </w:rPr>
        <w:t>销售业绩（提供相关证明材料：合同复印件）。</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Arial"/>
          <w:b/>
          <w:sz w:val="24"/>
          <w:szCs w:val="20"/>
        </w:rPr>
      </w:pPr>
      <w:bookmarkStart w:id="43" w:name="_Toc37243119"/>
      <w:bookmarkStart w:id="44" w:name="_Toc35401305"/>
      <w:bookmarkStart w:id="45" w:name="_Toc91899916"/>
      <w:r>
        <w:rPr>
          <w:rFonts w:hint="eastAsia" w:ascii="宋体" w:hAnsi="宋体" w:cs="Arial"/>
          <w:b/>
          <w:sz w:val="24"/>
          <w:szCs w:val="20"/>
          <w:lang w:val="en-US" w:eastAsia="zh-CN"/>
        </w:rPr>
        <w:t>五</w:t>
      </w:r>
      <w:r>
        <w:rPr>
          <w:rFonts w:hint="eastAsia" w:ascii="宋体" w:hAnsi="宋体" w:cs="Arial"/>
          <w:b/>
          <w:sz w:val="24"/>
          <w:szCs w:val="20"/>
        </w:rPr>
        <w:t>、投标报价方式</w:t>
      </w:r>
    </w:p>
    <w:p>
      <w:pPr>
        <w:keepNext w:val="0"/>
        <w:keepLines w:val="0"/>
        <w:pageBreakBefore w:val="0"/>
        <w:widowControl w:val="0"/>
        <w:kinsoku/>
        <w:wordWrap/>
        <w:overflowPunct/>
        <w:topLinePunct w:val="0"/>
        <w:bidi w:val="0"/>
        <w:snapToGrid w:val="0"/>
        <w:spacing w:line="440" w:lineRule="exact"/>
        <w:ind w:firstLine="512" w:firstLineChars="200"/>
        <w:textAlignment w:val="auto"/>
        <w:rPr>
          <w:rFonts w:hint="default" w:ascii="宋体" w:hAnsi="宋体" w:cs="宋体"/>
          <w:color w:val="FF0000"/>
          <w:kern w:val="0"/>
          <w:sz w:val="24"/>
          <w:lang w:val="en-US" w:eastAsia="zh-CN"/>
        </w:rPr>
      </w:pPr>
      <w:r>
        <w:rPr>
          <w:rFonts w:hint="eastAsia" w:ascii="宋体" w:hAnsi="宋体" w:eastAsia="宋体" w:cs="宋体"/>
          <w:color w:val="000000"/>
          <w:spacing w:val="8"/>
          <w:kern w:val="0"/>
          <w:sz w:val="24"/>
          <w:szCs w:val="24"/>
        </w:rPr>
        <w:t>报价方应</w:t>
      </w:r>
      <w:r>
        <w:rPr>
          <w:rFonts w:hint="eastAsia" w:ascii="宋体" w:hAnsi="宋体" w:eastAsia="宋体" w:cs="宋体"/>
          <w:color w:val="000000"/>
          <w:spacing w:val="8"/>
          <w:kern w:val="0"/>
          <w:sz w:val="24"/>
          <w:szCs w:val="24"/>
          <w:lang w:val="en-US" w:eastAsia="zh-CN"/>
        </w:rPr>
        <w:t>根据采购方要求进行综合</w:t>
      </w:r>
      <w:r>
        <w:rPr>
          <w:rFonts w:hint="eastAsia" w:ascii="宋体" w:hAnsi="宋体" w:eastAsia="宋体" w:cs="宋体"/>
          <w:color w:val="000000"/>
          <w:spacing w:val="8"/>
          <w:kern w:val="0"/>
          <w:sz w:val="24"/>
          <w:szCs w:val="24"/>
        </w:rPr>
        <w:t>报价</w:t>
      </w:r>
      <w:r>
        <w:rPr>
          <w:rFonts w:hint="eastAsia" w:ascii="宋体" w:hAnsi="宋体" w:eastAsia="宋体" w:cs="宋体"/>
          <w:color w:val="000000"/>
          <w:spacing w:val="8"/>
          <w:kern w:val="0"/>
          <w:sz w:val="24"/>
          <w:szCs w:val="24"/>
          <w:lang w:val="en-US" w:eastAsia="zh-CN"/>
        </w:rPr>
        <w:t>。</w:t>
      </w:r>
    </w:p>
    <w:p>
      <w:pPr>
        <w:adjustRightInd w:val="0"/>
        <w:snapToGrid w:val="0"/>
        <w:spacing w:line="360" w:lineRule="auto"/>
        <w:rPr>
          <w:rFonts w:ascii="宋体" w:hAnsi="宋体" w:cs="Arial"/>
          <w:b/>
          <w:sz w:val="24"/>
          <w:szCs w:val="20"/>
        </w:rPr>
      </w:pPr>
    </w:p>
    <w:p>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bookmarkEnd w:id="43"/>
    <w:bookmarkEnd w:id="44"/>
    <w:bookmarkEnd w:id="45"/>
    <w:p>
      <w:pPr>
        <w:jc w:val="center"/>
        <w:rPr>
          <w:sz w:val="36"/>
          <w:szCs w:val="36"/>
        </w:rPr>
      </w:pPr>
      <w:r>
        <w:rPr>
          <w:rFonts w:hint="eastAsia"/>
          <w:sz w:val="36"/>
          <w:szCs w:val="36"/>
          <w:u w:val="single"/>
        </w:rPr>
        <w:t xml:space="preserve">                 </w:t>
      </w:r>
      <w:r>
        <w:rPr>
          <w:rFonts w:hint="eastAsia"/>
          <w:sz w:val="36"/>
          <w:szCs w:val="36"/>
        </w:rPr>
        <w:t>采购合同</w:t>
      </w:r>
    </w:p>
    <w:p>
      <w:pPr>
        <w:ind w:firstLine="480" w:firstLineChars="200"/>
        <w:rPr>
          <w:sz w:val="24"/>
          <w:u w:val="single"/>
        </w:rPr>
      </w:pPr>
      <w:r>
        <w:rPr>
          <w:rFonts w:hint="eastAsia"/>
          <w:sz w:val="24"/>
        </w:rPr>
        <w:t>买受人（以下简称甲方）：</w:t>
      </w:r>
      <w:r>
        <w:rPr>
          <w:rFonts w:hint="eastAsia"/>
          <w:sz w:val="24"/>
          <w:u w:val="single"/>
        </w:rPr>
        <w:t xml:space="preserve"> 浙江省隧道工程集团有限公司 </w:t>
      </w:r>
    </w:p>
    <w:p>
      <w:pPr>
        <w:ind w:firstLine="480" w:firstLineChars="200"/>
        <w:rPr>
          <w:sz w:val="24"/>
          <w:u w:val="single"/>
        </w:rPr>
      </w:pPr>
      <w:r>
        <w:rPr>
          <w:rFonts w:hint="eastAsia"/>
          <w:sz w:val="24"/>
        </w:rPr>
        <w:t>出卖人（以下简称乙方）：</w:t>
      </w:r>
      <w:r>
        <w:rPr>
          <w:rFonts w:hint="eastAsia"/>
          <w:sz w:val="24"/>
          <w:u w:val="single"/>
        </w:rPr>
        <w:t xml:space="preserve">                            </w:t>
      </w:r>
    </w:p>
    <w:p>
      <w:pPr>
        <w:ind w:firstLine="480" w:firstLineChars="200"/>
        <w:rPr>
          <w:sz w:val="24"/>
        </w:rPr>
      </w:pPr>
      <w:r>
        <w:rPr>
          <w:rFonts w:hint="eastAsia"/>
          <w:sz w:val="24"/>
        </w:rPr>
        <w:t>甲方因</w:t>
      </w:r>
      <w:r>
        <w:rPr>
          <w:rFonts w:hint="eastAsia"/>
          <w:sz w:val="24"/>
          <w:u w:val="single"/>
        </w:rPr>
        <w:t xml:space="preserve">                         </w:t>
      </w:r>
      <w:r>
        <w:rPr>
          <w:rFonts w:hint="eastAsia"/>
          <w:sz w:val="24"/>
        </w:rPr>
        <w:t>工程需要，购买乙方物资，根据《中华人民共和国民典法》等相关法律之规定，经双方协商一致，签订本合同。</w:t>
      </w:r>
    </w:p>
    <w:p>
      <w:pPr>
        <w:pStyle w:val="12"/>
        <w:numPr>
          <w:ilvl w:val="0"/>
          <w:numId w:val="2"/>
        </w:numPr>
        <w:spacing w:line="360" w:lineRule="auto"/>
        <w:ind w:firstLineChars="0"/>
        <w:rPr>
          <w:sz w:val="24"/>
          <w:szCs w:val="24"/>
        </w:rPr>
      </w:pPr>
      <w:r>
        <w:rPr>
          <w:rFonts w:hint="eastAsia"/>
          <w:sz w:val="24"/>
          <w:szCs w:val="24"/>
        </w:rPr>
        <w:t>供料工程</w:t>
      </w:r>
    </w:p>
    <w:p>
      <w:pPr>
        <w:pStyle w:val="12"/>
        <w:numPr>
          <w:ilvl w:val="1"/>
          <w:numId w:val="3"/>
        </w:numPr>
        <w:spacing w:line="360" w:lineRule="auto"/>
        <w:ind w:firstLineChars="0"/>
        <w:rPr>
          <w:sz w:val="24"/>
          <w:szCs w:val="24"/>
        </w:rPr>
      </w:pPr>
      <w:r>
        <w:rPr>
          <w:rFonts w:hint="eastAsia"/>
          <w:sz w:val="24"/>
          <w:szCs w:val="24"/>
        </w:rPr>
        <w:t>本合同</w:t>
      </w:r>
      <w:r>
        <w:rPr>
          <w:rFonts w:hint="eastAsia"/>
          <w:sz w:val="24"/>
          <w:szCs w:val="24"/>
          <w:lang w:eastAsia="zh-CN"/>
        </w:rPr>
        <w:t>采购</w:t>
      </w:r>
      <w:r>
        <w:rPr>
          <w:rFonts w:hint="eastAsia"/>
          <w:sz w:val="24"/>
          <w:szCs w:val="24"/>
        </w:rPr>
        <w:t>的物资用于下述工程：</w:t>
      </w:r>
      <w:r>
        <w:rPr>
          <w:rFonts w:hint="eastAsia"/>
          <w:sz w:val="24"/>
          <w:szCs w:val="24"/>
          <w:u w:val="single"/>
        </w:rPr>
        <w:t xml:space="preserve">                          </w:t>
      </w:r>
    </w:p>
    <w:p>
      <w:pPr>
        <w:pStyle w:val="12"/>
        <w:numPr>
          <w:ilvl w:val="1"/>
          <w:numId w:val="3"/>
        </w:numPr>
        <w:spacing w:line="360" w:lineRule="auto"/>
        <w:ind w:firstLineChars="0"/>
        <w:rPr>
          <w:sz w:val="24"/>
          <w:szCs w:val="24"/>
        </w:rPr>
      </w:pPr>
      <w:r>
        <w:rPr>
          <w:rFonts w:hint="eastAsia"/>
          <w:sz w:val="24"/>
          <w:szCs w:val="24"/>
        </w:rPr>
        <w:t>工程地点：</w:t>
      </w:r>
      <w:r>
        <w:rPr>
          <w:rFonts w:hint="eastAsia"/>
          <w:sz w:val="24"/>
          <w:szCs w:val="24"/>
          <w:u w:val="single"/>
        </w:rPr>
        <w:t xml:space="preserve">                                              </w:t>
      </w:r>
    </w:p>
    <w:p>
      <w:pPr>
        <w:pStyle w:val="12"/>
        <w:numPr>
          <w:ilvl w:val="1"/>
          <w:numId w:val="3"/>
        </w:numPr>
        <w:spacing w:line="360" w:lineRule="auto"/>
        <w:ind w:firstLineChars="0"/>
        <w:rPr>
          <w:sz w:val="24"/>
          <w:szCs w:val="24"/>
        </w:rPr>
      </w:pPr>
      <w:r>
        <w:rPr>
          <w:rFonts w:hint="eastAsia"/>
          <w:sz w:val="24"/>
          <w:szCs w:val="24"/>
        </w:rPr>
        <w:t>出卖人（乙方）增值税纳税人资格：</w:t>
      </w:r>
      <w:r>
        <w:rPr>
          <w:rFonts w:hint="eastAsia"/>
          <w:sz w:val="24"/>
          <w:szCs w:val="24"/>
          <w:u w:val="single"/>
        </w:rPr>
        <w:t xml:space="preserve">        </w:t>
      </w:r>
      <w:r>
        <w:rPr>
          <w:rFonts w:hint="eastAsia"/>
          <w:sz w:val="24"/>
          <w:szCs w:val="24"/>
        </w:rPr>
        <w:t>（一般纳税人/小规模纳税人）</w:t>
      </w:r>
    </w:p>
    <w:p>
      <w:pPr>
        <w:pStyle w:val="12"/>
        <w:numPr>
          <w:ilvl w:val="1"/>
          <w:numId w:val="3"/>
        </w:numPr>
        <w:spacing w:line="360" w:lineRule="auto"/>
        <w:ind w:firstLineChars="0"/>
        <w:rPr>
          <w:sz w:val="24"/>
          <w:szCs w:val="24"/>
        </w:rPr>
      </w:pPr>
      <w:r>
        <w:rPr>
          <w:rFonts w:hint="eastAsia"/>
          <w:sz w:val="24"/>
          <w:szCs w:val="24"/>
        </w:rPr>
        <w:t>供货期限：自</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日至</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rPr>
          <w:sz w:val="24"/>
        </w:rPr>
      </w:pPr>
      <w:r>
        <w:rPr>
          <w:rFonts w:hint="eastAsia"/>
          <w:sz w:val="24"/>
        </w:rPr>
        <w:t xml:space="preserve">  第二条 货物名称、规格型号、材质、单价及计划数量等</w:t>
      </w:r>
    </w:p>
    <w:tbl>
      <w:tblPr>
        <w:tblStyle w:val="8"/>
        <w:tblW w:w="9498" w:type="dxa"/>
        <w:tblInd w:w="-459"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1276"/>
        <w:gridCol w:w="992"/>
        <w:gridCol w:w="2268"/>
        <w:gridCol w:w="1560"/>
        <w:gridCol w:w="567"/>
        <w:gridCol w:w="1134"/>
        <w:gridCol w:w="992"/>
        <w:gridCol w:w="709"/>
      </w:tblGrid>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val="0"/>
            <w:vAlign w:val="center"/>
          </w:tcPr>
          <w:p>
            <w:pPr>
              <w:adjustRightInd w:val="0"/>
              <w:snapToGrid w:val="0"/>
              <w:jc w:val="center"/>
              <w:rPr>
                <w:sz w:val="18"/>
                <w:szCs w:val="18"/>
              </w:rPr>
            </w:pPr>
            <w:r>
              <w:rPr>
                <w:rFonts w:hint="eastAsia"/>
                <w:sz w:val="18"/>
                <w:szCs w:val="18"/>
              </w:rPr>
              <w:t>货物名称</w:t>
            </w:r>
          </w:p>
        </w:tc>
        <w:tc>
          <w:tcPr>
            <w:tcW w:w="992" w:type="dxa"/>
            <w:noWrap w:val="0"/>
            <w:vAlign w:val="center"/>
          </w:tcPr>
          <w:p>
            <w:pPr>
              <w:adjustRightInd w:val="0"/>
              <w:snapToGrid w:val="0"/>
              <w:jc w:val="center"/>
              <w:rPr>
                <w:sz w:val="18"/>
                <w:szCs w:val="18"/>
              </w:rPr>
            </w:pPr>
            <w:r>
              <w:rPr>
                <w:rFonts w:hint="eastAsia"/>
                <w:sz w:val="18"/>
                <w:szCs w:val="18"/>
              </w:rPr>
              <w:t>规格型号</w:t>
            </w:r>
          </w:p>
        </w:tc>
        <w:tc>
          <w:tcPr>
            <w:tcW w:w="2268" w:type="dxa"/>
            <w:noWrap w:val="0"/>
            <w:vAlign w:val="center"/>
          </w:tcPr>
          <w:p>
            <w:pPr>
              <w:adjustRightInd w:val="0"/>
              <w:snapToGrid w:val="0"/>
              <w:jc w:val="center"/>
              <w:rPr>
                <w:sz w:val="18"/>
                <w:szCs w:val="18"/>
              </w:rPr>
            </w:pPr>
            <w:r>
              <w:rPr>
                <w:rFonts w:hint="eastAsia"/>
                <w:sz w:val="18"/>
                <w:szCs w:val="18"/>
              </w:rPr>
              <w:t>材质、性能参数等（执行的技术质量标准）</w:t>
            </w:r>
          </w:p>
        </w:tc>
        <w:tc>
          <w:tcPr>
            <w:tcW w:w="1560" w:type="dxa"/>
            <w:noWrap w:val="0"/>
            <w:vAlign w:val="center"/>
          </w:tcPr>
          <w:p>
            <w:pPr>
              <w:adjustRightInd w:val="0"/>
              <w:snapToGrid w:val="0"/>
              <w:jc w:val="center"/>
              <w:rPr>
                <w:sz w:val="18"/>
                <w:szCs w:val="18"/>
              </w:rPr>
            </w:pPr>
            <w:r>
              <w:rPr>
                <w:rFonts w:hint="eastAsia"/>
                <w:sz w:val="18"/>
                <w:szCs w:val="18"/>
              </w:rPr>
              <w:t>品牌</w:t>
            </w:r>
            <w:r>
              <w:rPr>
                <w:rFonts w:hint="eastAsia"/>
                <w:sz w:val="18"/>
                <w:szCs w:val="18"/>
                <w:lang w:eastAsia="zh-CN"/>
              </w:rPr>
              <w:t>和</w:t>
            </w:r>
            <w:r>
              <w:rPr>
                <w:rFonts w:hint="eastAsia"/>
                <w:sz w:val="18"/>
                <w:szCs w:val="18"/>
              </w:rPr>
              <w:t>厂家</w:t>
            </w:r>
          </w:p>
        </w:tc>
        <w:tc>
          <w:tcPr>
            <w:tcW w:w="567" w:type="dxa"/>
            <w:noWrap w:val="0"/>
            <w:vAlign w:val="center"/>
          </w:tcPr>
          <w:p>
            <w:pPr>
              <w:adjustRightInd w:val="0"/>
              <w:snapToGrid w:val="0"/>
              <w:jc w:val="center"/>
              <w:rPr>
                <w:sz w:val="18"/>
                <w:szCs w:val="18"/>
              </w:rPr>
            </w:pPr>
            <w:r>
              <w:rPr>
                <w:rFonts w:hint="eastAsia"/>
                <w:sz w:val="18"/>
                <w:szCs w:val="18"/>
              </w:rPr>
              <w:t>单位</w:t>
            </w:r>
          </w:p>
        </w:tc>
        <w:tc>
          <w:tcPr>
            <w:tcW w:w="1134" w:type="dxa"/>
            <w:noWrap w:val="0"/>
            <w:vAlign w:val="center"/>
          </w:tcPr>
          <w:p>
            <w:pPr>
              <w:adjustRightInd w:val="0"/>
              <w:snapToGrid w:val="0"/>
              <w:jc w:val="center"/>
              <w:rPr>
                <w:sz w:val="18"/>
                <w:szCs w:val="18"/>
              </w:rPr>
            </w:pPr>
            <w:r>
              <w:rPr>
                <w:rFonts w:hint="eastAsia"/>
                <w:sz w:val="18"/>
                <w:szCs w:val="18"/>
              </w:rPr>
              <w:t>单价（元）</w:t>
            </w:r>
          </w:p>
        </w:tc>
        <w:tc>
          <w:tcPr>
            <w:tcW w:w="992" w:type="dxa"/>
            <w:noWrap w:val="0"/>
            <w:vAlign w:val="center"/>
          </w:tcPr>
          <w:p>
            <w:pPr>
              <w:adjustRightInd w:val="0"/>
              <w:snapToGrid w:val="0"/>
              <w:jc w:val="center"/>
              <w:rPr>
                <w:sz w:val="18"/>
                <w:szCs w:val="18"/>
              </w:rPr>
            </w:pPr>
            <w:r>
              <w:rPr>
                <w:rFonts w:hint="eastAsia"/>
                <w:sz w:val="18"/>
                <w:szCs w:val="18"/>
              </w:rPr>
              <w:t>计划数量</w:t>
            </w:r>
          </w:p>
        </w:tc>
        <w:tc>
          <w:tcPr>
            <w:tcW w:w="709" w:type="dxa"/>
            <w:noWrap w:val="0"/>
            <w:vAlign w:val="center"/>
          </w:tcPr>
          <w:p>
            <w:pPr>
              <w:adjustRightInd w:val="0"/>
              <w:snapToGrid w:val="0"/>
              <w:jc w:val="center"/>
              <w:rPr>
                <w:sz w:val="18"/>
                <w:szCs w:val="18"/>
              </w:rPr>
            </w:pPr>
            <w:r>
              <w:rPr>
                <w:rFonts w:hint="eastAsia"/>
                <w:sz w:val="18"/>
                <w:szCs w:val="18"/>
              </w:rPr>
              <w:t>备注</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val="0"/>
            <w:vAlign w:val="top"/>
          </w:tcPr>
          <w:p>
            <w:pPr>
              <w:jc w:val="center"/>
            </w:pPr>
          </w:p>
        </w:tc>
        <w:tc>
          <w:tcPr>
            <w:tcW w:w="992" w:type="dxa"/>
            <w:noWrap w:val="0"/>
            <w:vAlign w:val="top"/>
          </w:tcPr>
          <w:p>
            <w:pPr>
              <w:jc w:val="center"/>
            </w:pPr>
          </w:p>
        </w:tc>
        <w:tc>
          <w:tcPr>
            <w:tcW w:w="2268" w:type="dxa"/>
            <w:noWrap w:val="0"/>
            <w:vAlign w:val="top"/>
          </w:tcPr>
          <w:p>
            <w:pPr>
              <w:jc w:val="center"/>
            </w:pPr>
          </w:p>
        </w:tc>
        <w:tc>
          <w:tcPr>
            <w:tcW w:w="1560" w:type="dxa"/>
            <w:noWrap w:val="0"/>
            <w:vAlign w:val="top"/>
          </w:tcPr>
          <w:p>
            <w:pPr>
              <w:jc w:val="center"/>
            </w:pPr>
          </w:p>
        </w:tc>
        <w:tc>
          <w:tcPr>
            <w:tcW w:w="567" w:type="dxa"/>
            <w:noWrap w:val="0"/>
            <w:vAlign w:val="top"/>
          </w:tcPr>
          <w:p>
            <w:pPr>
              <w:jc w:val="center"/>
            </w:pPr>
          </w:p>
        </w:tc>
        <w:tc>
          <w:tcPr>
            <w:tcW w:w="1134" w:type="dxa"/>
            <w:noWrap w:val="0"/>
            <w:vAlign w:val="top"/>
          </w:tcPr>
          <w:p>
            <w:pPr>
              <w:jc w:val="center"/>
            </w:pPr>
          </w:p>
        </w:tc>
        <w:tc>
          <w:tcPr>
            <w:tcW w:w="992" w:type="dxa"/>
            <w:noWrap w:val="0"/>
            <w:vAlign w:val="top"/>
          </w:tcPr>
          <w:p>
            <w:pPr>
              <w:jc w:val="center"/>
            </w:pPr>
          </w:p>
        </w:tc>
        <w:tc>
          <w:tcPr>
            <w:tcW w:w="709" w:type="dxa"/>
            <w:noWrap w:val="0"/>
            <w:vAlign w:val="to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val="0"/>
            <w:vAlign w:val="top"/>
          </w:tcPr>
          <w:p>
            <w:pPr>
              <w:jc w:val="center"/>
            </w:pPr>
          </w:p>
        </w:tc>
        <w:tc>
          <w:tcPr>
            <w:tcW w:w="992" w:type="dxa"/>
            <w:noWrap w:val="0"/>
            <w:vAlign w:val="top"/>
          </w:tcPr>
          <w:p>
            <w:pPr>
              <w:jc w:val="center"/>
            </w:pPr>
          </w:p>
        </w:tc>
        <w:tc>
          <w:tcPr>
            <w:tcW w:w="2268" w:type="dxa"/>
            <w:noWrap w:val="0"/>
            <w:vAlign w:val="top"/>
          </w:tcPr>
          <w:p>
            <w:pPr>
              <w:jc w:val="center"/>
            </w:pPr>
          </w:p>
        </w:tc>
        <w:tc>
          <w:tcPr>
            <w:tcW w:w="1560" w:type="dxa"/>
            <w:noWrap w:val="0"/>
            <w:vAlign w:val="top"/>
          </w:tcPr>
          <w:p>
            <w:pPr>
              <w:jc w:val="center"/>
            </w:pPr>
          </w:p>
        </w:tc>
        <w:tc>
          <w:tcPr>
            <w:tcW w:w="567" w:type="dxa"/>
            <w:noWrap w:val="0"/>
            <w:vAlign w:val="top"/>
          </w:tcPr>
          <w:p>
            <w:pPr>
              <w:jc w:val="center"/>
            </w:pPr>
          </w:p>
        </w:tc>
        <w:tc>
          <w:tcPr>
            <w:tcW w:w="1134" w:type="dxa"/>
            <w:noWrap w:val="0"/>
            <w:vAlign w:val="top"/>
          </w:tcPr>
          <w:p>
            <w:pPr>
              <w:jc w:val="center"/>
            </w:pPr>
          </w:p>
        </w:tc>
        <w:tc>
          <w:tcPr>
            <w:tcW w:w="992" w:type="dxa"/>
            <w:noWrap w:val="0"/>
            <w:vAlign w:val="top"/>
          </w:tcPr>
          <w:p>
            <w:pPr>
              <w:jc w:val="center"/>
            </w:pPr>
          </w:p>
        </w:tc>
        <w:tc>
          <w:tcPr>
            <w:tcW w:w="709" w:type="dxa"/>
            <w:noWrap w:val="0"/>
            <w:vAlign w:val="to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val="0"/>
            <w:vAlign w:val="top"/>
          </w:tcPr>
          <w:p>
            <w:pPr>
              <w:jc w:val="center"/>
            </w:pPr>
          </w:p>
        </w:tc>
        <w:tc>
          <w:tcPr>
            <w:tcW w:w="992" w:type="dxa"/>
            <w:noWrap w:val="0"/>
            <w:vAlign w:val="top"/>
          </w:tcPr>
          <w:p>
            <w:pPr>
              <w:jc w:val="center"/>
            </w:pPr>
          </w:p>
        </w:tc>
        <w:tc>
          <w:tcPr>
            <w:tcW w:w="2268" w:type="dxa"/>
            <w:noWrap w:val="0"/>
            <w:vAlign w:val="top"/>
          </w:tcPr>
          <w:p>
            <w:pPr>
              <w:jc w:val="center"/>
            </w:pPr>
          </w:p>
        </w:tc>
        <w:tc>
          <w:tcPr>
            <w:tcW w:w="1560" w:type="dxa"/>
            <w:noWrap w:val="0"/>
            <w:vAlign w:val="top"/>
          </w:tcPr>
          <w:p>
            <w:pPr>
              <w:jc w:val="center"/>
            </w:pPr>
          </w:p>
        </w:tc>
        <w:tc>
          <w:tcPr>
            <w:tcW w:w="567" w:type="dxa"/>
            <w:noWrap w:val="0"/>
            <w:vAlign w:val="top"/>
          </w:tcPr>
          <w:p>
            <w:pPr>
              <w:jc w:val="center"/>
            </w:pPr>
          </w:p>
        </w:tc>
        <w:tc>
          <w:tcPr>
            <w:tcW w:w="1134" w:type="dxa"/>
            <w:noWrap w:val="0"/>
            <w:vAlign w:val="top"/>
          </w:tcPr>
          <w:p>
            <w:pPr>
              <w:jc w:val="center"/>
            </w:pPr>
          </w:p>
        </w:tc>
        <w:tc>
          <w:tcPr>
            <w:tcW w:w="992" w:type="dxa"/>
            <w:noWrap w:val="0"/>
            <w:vAlign w:val="top"/>
          </w:tcPr>
          <w:p>
            <w:pPr>
              <w:jc w:val="center"/>
            </w:pPr>
          </w:p>
        </w:tc>
        <w:tc>
          <w:tcPr>
            <w:tcW w:w="709" w:type="dxa"/>
            <w:noWrap w:val="0"/>
            <w:vAlign w:val="to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val="0"/>
            <w:vAlign w:val="top"/>
          </w:tcPr>
          <w:p>
            <w:pPr>
              <w:jc w:val="center"/>
            </w:pPr>
          </w:p>
        </w:tc>
        <w:tc>
          <w:tcPr>
            <w:tcW w:w="992" w:type="dxa"/>
            <w:noWrap w:val="0"/>
            <w:vAlign w:val="top"/>
          </w:tcPr>
          <w:p>
            <w:pPr>
              <w:jc w:val="center"/>
            </w:pPr>
          </w:p>
        </w:tc>
        <w:tc>
          <w:tcPr>
            <w:tcW w:w="2268" w:type="dxa"/>
            <w:noWrap w:val="0"/>
            <w:vAlign w:val="top"/>
          </w:tcPr>
          <w:p>
            <w:pPr>
              <w:jc w:val="center"/>
            </w:pPr>
          </w:p>
        </w:tc>
        <w:tc>
          <w:tcPr>
            <w:tcW w:w="1560" w:type="dxa"/>
            <w:noWrap w:val="0"/>
            <w:vAlign w:val="top"/>
          </w:tcPr>
          <w:p>
            <w:pPr>
              <w:jc w:val="center"/>
            </w:pPr>
          </w:p>
        </w:tc>
        <w:tc>
          <w:tcPr>
            <w:tcW w:w="567" w:type="dxa"/>
            <w:noWrap w:val="0"/>
            <w:vAlign w:val="top"/>
          </w:tcPr>
          <w:p>
            <w:pPr>
              <w:jc w:val="center"/>
            </w:pPr>
          </w:p>
        </w:tc>
        <w:tc>
          <w:tcPr>
            <w:tcW w:w="1134" w:type="dxa"/>
            <w:noWrap w:val="0"/>
            <w:vAlign w:val="top"/>
          </w:tcPr>
          <w:p>
            <w:pPr>
              <w:jc w:val="center"/>
            </w:pPr>
          </w:p>
        </w:tc>
        <w:tc>
          <w:tcPr>
            <w:tcW w:w="992" w:type="dxa"/>
            <w:noWrap w:val="0"/>
            <w:vAlign w:val="top"/>
          </w:tcPr>
          <w:p>
            <w:pPr>
              <w:jc w:val="center"/>
            </w:pPr>
          </w:p>
        </w:tc>
        <w:tc>
          <w:tcPr>
            <w:tcW w:w="709" w:type="dxa"/>
            <w:noWrap w:val="0"/>
            <w:vAlign w:val="to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val="0"/>
            <w:vAlign w:val="top"/>
          </w:tcPr>
          <w:p>
            <w:pPr>
              <w:jc w:val="center"/>
            </w:pPr>
          </w:p>
        </w:tc>
        <w:tc>
          <w:tcPr>
            <w:tcW w:w="992" w:type="dxa"/>
            <w:noWrap w:val="0"/>
            <w:vAlign w:val="top"/>
          </w:tcPr>
          <w:p>
            <w:pPr>
              <w:jc w:val="center"/>
            </w:pPr>
          </w:p>
        </w:tc>
        <w:tc>
          <w:tcPr>
            <w:tcW w:w="2268" w:type="dxa"/>
            <w:noWrap w:val="0"/>
            <w:vAlign w:val="top"/>
          </w:tcPr>
          <w:p>
            <w:pPr>
              <w:jc w:val="center"/>
            </w:pPr>
          </w:p>
        </w:tc>
        <w:tc>
          <w:tcPr>
            <w:tcW w:w="1560" w:type="dxa"/>
            <w:noWrap w:val="0"/>
            <w:vAlign w:val="top"/>
          </w:tcPr>
          <w:p>
            <w:pPr>
              <w:jc w:val="center"/>
            </w:pPr>
          </w:p>
        </w:tc>
        <w:tc>
          <w:tcPr>
            <w:tcW w:w="567" w:type="dxa"/>
            <w:noWrap w:val="0"/>
            <w:vAlign w:val="top"/>
          </w:tcPr>
          <w:p>
            <w:pPr>
              <w:jc w:val="center"/>
            </w:pPr>
          </w:p>
        </w:tc>
        <w:tc>
          <w:tcPr>
            <w:tcW w:w="1134" w:type="dxa"/>
            <w:noWrap w:val="0"/>
            <w:vAlign w:val="top"/>
          </w:tcPr>
          <w:p>
            <w:pPr>
              <w:jc w:val="center"/>
            </w:pPr>
          </w:p>
        </w:tc>
        <w:tc>
          <w:tcPr>
            <w:tcW w:w="992" w:type="dxa"/>
            <w:noWrap w:val="0"/>
            <w:vAlign w:val="top"/>
          </w:tcPr>
          <w:p>
            <w:pPr>
              <w:jc w:val="center"/>
            </w:pPr>
          </w:p>
        </w:tc>
        <w:tc>
          <w:tcPr>
            <w:tcW w:w="709" w:type="dxa"/>
            <w:noWrap w:val="0"/>
            <w:vAlign w:val="to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val="0"/>
            <w:vAlign w:val="center"/>
          </w:tcPr>
          <w:p>
            <w:pPr>
              <w:jc w:val="center"/>
            </w:pPr>
            <w:r>
              <w:rPr>
                <w:rFonts w:hint="eastAsia"/>
              </w:rPr>
              <w:t>备注</w:t>
            </w:r>
          </w:p>
        </w:tc>
        <w:tc>
          <w:tcPr>
            <w:tcW w:w="8222" w:type="dxa"/>
            <w:gridSpan w:val="7"/>
            <w:noWrap w:val="0"/>
            <w:vAlign w:val="top"/>
          </w:tcPr>
          <w:p>
            <w:pPr>
              <w:pStyle w:val="12"/>
              <w:ind w:left="360" w:firstLine="0" w:firstLineChars="0"/>
            </w:pPr>
            <w:r>
              <w:rPr>
                <w:rFonts w:hint="eastAsia"/>
              </w:rPr>
              <w:t>1、单价为含税价，合同含税价款为</w:t>
            </w:r>
            <w:r>
              <w:rPr>
                <w:rFonts w:hint="eastAsia"/>
                <w:u w:val="single"/>
              </w:rPr>
              <w:t xml:space="preserve">                          </w:t>
            </w:r>
            <w:r>
              <w:rPr>
                <w:rFonts w:hint="eastAsia"/>
              </w:rPr>
              <w:t>元。</w:t>
            </w:r>
          </w:p>
          <w:p>
            <w:pPr>
              <w:pStyle w:val="12"/>
              <w:ind w:left="360" w:firstLine="0" w:firstLineChars="0"/>
            </w:pPr>
            <w:r>
              <w:rPr>
                <w:rFonts w:hint="eastAsia"/>
              </w:rPr>
              <w:t>2、提供发票为增值税</w:t>
            </w:r>
            <w:r>
              <w:rPr>
                <w:rFonts w:hint="eastAsia"/>
                <w:u w:val="single"/>
              </w:rPr>
              <w:t xml:space="preserve">   </w:t>
            </w:r>
            <w:r>
              <w:rPr>
                <w:rFonts w:hint="eastAsia"/>
                <w:u w:val="single"/>
                <w:lang w:val="en-US" w:eastAsia="zh-CN"/>
              </w:rPr>
              <w:t>专用</w:t>
            </w:r>
            <w:r>
              <w:rPr>
                <w:rFonts w:hint="eastAsia"/>
                <w:u w:val="single"/>
              </w:rPr>
              <w:t xml:space="preserve">   </w:t>
            </w:r>
            <w:r>
              <w:rPr>
                <w:rFonts w:hint="eastAsia"/>
              </w:rPr>
              <w:t>发票，税率为</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w:t>
            </w:r>
          </w:p>
        </w:tc>
      </w:tr>
    </w:tbl>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sz w:val="24"/>
        </w:rPr>
      </w:pPr>
      <w:r>
        <w:rPr>
          <w:rFonts w:hint="eastAsia"/>
          <w:sz w:val="24"/>
        </w:rPr>
        <w:t>第三条 货物质量要求</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sz w:val="24"/>
        </w:rPr>
      </w:pPr>
      <w:r>
        <w:rPr>
          <w:rFonts w:hint="eastAsia"/>
          <w:sz w:val="24"/>
        </w:rPr>
        <w:t>3.1 质量要求及验收标准的约定</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sz w:val="24"/>
          <w:u w:val="single"/>
        </w:rPr>
      </w:pP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sz w:val="24"/>
          <w:u w:val="single"/>
        </w:rPr>
      </w:pP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sz w:val="24"/>
        </w:rPr>
      </w:pPr>
      <w:r>
        <w:rPr>
          <w:rFonts w:hint="eastAsia"/>
          <w:sz w:val="24"/>
        </w:rPr>
        <w:t>3.2 货物质量应符合国家、行业、地方性规范（标准）要求；无国家、行业、地方性规范（标准）的，应符合企业标准，乙方应当提交企业标准，作为合同附件。上述规范（标准）均不存在的，应满足其正常的使用性能要求。</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sz w:val="24"/>
        </w:rPr>
      </w:pPr>
      <w:r>
        <w:rPr>
          <w:rFonts w:hint="eastAsia"/>
          <w:sz w:val="24"/>
        </w:rPr>
        <w:t>3.3 货物的质量要求应符合有关施工图纸及设计文件要求，有关图纸及设计文件作为合同附件。</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sz w:val="24"/>
        </w:rPr>
      </w:pPr>
      <w:r>
        <w:rPr>
          <w:rFonts w:hint="eastAsia"/>
          <w:sz w:val="24"/>
        </w:rPr>
        <w:t>3.4 本次交易采用样品封存</w:t>
      </w:r>
      <w:r>
        <w:rPr>
          <w:rFonts w:hint="eastAsia"/>
          <w:sz w:val="24"/>
          <w:lang w:eastAsia="zh-CN"/>
        </w:rPr>
        <w:t>送检</w:t>
      </w:r>
      <w:r>
        <w:rPr>
          <w:rFonts w:hint="eastAsia"/>
          <w:sz w:val="24"/>
        </w:rPr>
        <w:t>验收的方式。样品及样品的封存包装物由乙方免费提供，全部货物验收合格后退还乙方。</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sz w:val="24"/>
        </w:rPr>
      </w:pPr>
      <w:r>
        <w:rPr>
          <w:rFonts w:hint="eastAsia"/>
          <w:sz w:val="24"/>
        </w:rPr>
        <w:t>3.5 货物质量还应符合乙方承诺的质量标准。乙方报送甲方的书面资料，包括投标文件或单独的报价文件、乙方（或生产厂家）宣传资料及乙方（或生产厂家）公开宣传的内容，均构成其承诺。</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sz w:val="24"/>
          <w:u w:val="single"/>
        </w:rPr>
      </w:pPr>
      <w:r>
        <w:rPr>
          <w:rFonts w:hint="eastAsia"/>
          <w:sz w:val="24"/>
        </w:rPr>
        <w:t>3.6 鉴于甲方对货物质量标准的了解程度不及乙方，本合同所列明的各种质量要求或技术质量标准，应执行最高标准。</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sz w:val="24"/>
        </w:rPr>
      </w:pPr>
      <w:r>
        <w:rPr>
          <w:rFonts w:hint="eastAsia"/>
          <w:sz w:val="24"/>
        </w:rPr>
        <w:t>第四条  交货时间按下列第（）种方式确定：</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Chars="0"/>
        <w:textAlignment w:val="auto"/>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日时前交付全部货物；</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Chars="0"/>
        <w:textAlignment w:val="auto"/>
        <w:rPr>
          <w:sz w:val="24"/>
          <w:szCs w:val="24"/>
        </w:rPr>
      </w:pPr>
      <w:r>
        <w:rPr>
          <w:rFonts w:hint="eastAsia"/>
          <w:sz w:val="24"/>
          <w:szCs w:val="24"/>
        </w:rPr>
        <w:t>分批交货，具体时间由甲方提前</w:t>
      </w:r>
      <w:r>
        <w:rPr>
          <w:rFonts w:hint="eastAsia"/>
          <w:sz w:val="24"/>
          <w:szCs w:val="24"/>
          <w:u w:val="single"/>
        </w:rPr>
        <w:t xml:space="preserve">    </w:t>
      </w:r>
      <w:r>
        <w:rPr>
          <w:rFonts w:hint="eastAsia"/>
          <w:sz w:val="24"/>
          <w:szCs w:val="24"/>
        </w:rPr>
        <w:t>日通知乙方。</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sz w:val="24"/>
        </w:rPr>
      </w:pPr>
      <w:r>
        <w:rPr>
          <w:rFonts w:hint="eastAsia"/>
          <w:sz w:val="24"/>
        </w:rPr>
        <w:t>第五条 交货地点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交货地点：本工程施工地点，由乙方负责将货物运至工程现场并卸至甲方指定的具体位置，运费及卸</w:t>
      </w:r>
      <w:r>
        <w:rPr>
          <w:rFonts w:hint="eastAsia"/>
          <w:sz w:val="24"/>
          <w:lang w:eastAsia="zh-CN"/>
        </w:rPr>
        <w:t>车</w:t>
      </w:r>
      <w:r>
        <w:rPr>
          <w:rFonts w:hint="eastAsia"/>
          <w:sz w:val="24"/>
        </w:rPr>
        <w:t>费由乙方承担。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第六条 货物数量及质量验收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6.1 甲乙双方共同对货物（包括合同约定的附件等）数量及外观质量进行验收，并在乙方的发货单上签字确认。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u w:val="single"/>
        </w:rPr>
      </w:pPr>
      <w:r>
        <w:rPr>
          <w:rFonts w:hint="eastAsia"/>
          <w:sz w:val="24"/>
        </w:rPr>
        <w:t>数量的验收（或复核）方法、计量规则</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u w:val="single"/>
        </w:rPr>
      </w:pPr>
      <w:r>
        <w:rPr>
          <w:rFonts w:hint="eastAsia"/>
          <w:sz w:val="24"/>
        </w:rPr>
        <w:t>外观质量的验收内容及方法：</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6.2 货物经甲方表观检验，如有质量异常现象的，经双方核实后确属质量问题的，甲方有权拒收或退货，并由乙方承担违约责任。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6.3 交货时，乙方向甲方一并提交产品技术质量资料，包括但不限于：</w:t>
      </w:r>
      <w:r>
        <w:rPr>
          <w:rFonts w:hint="eastAsia"/>
          <w:sz w:val="24"/>
          <w:u w:val="single"/>
        </w:rPr>
        <w:t xml:space="preserve">              </w:t>
      </w:r>
      <w:r>
        <w:rPr>
          <w:rFonts w:hint="eastAsia"/>
          <w:sz w:val="24"/>
        </w:rPr>
        <w:t>。乙方未提交上述资料的，视为货物</w:t>
      </w:r>
      <w:r>
        <w:rPr>
          <w:rFonts w:hint="eastAsia"/>
          <w:sz w:val="24"/>
          <w:lang w:eastAsia="zh-CN"/>
        </w:rPr>
        <w:t>交付</w:t>
      </w:r>
      <w:r>
        <w:rPr>
          <w:rFonts w:hint="eastAsia"/>
          <w:sz w:val="24"/>
        </w:rPr>
        <w:t>未完成，甲方有权不予结算付款。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6.4 货物进场后，应当进行检测、检验（试验），相关费用由</w:t>
      </w:r>
      <w:r>
        <w:rPr>
          <w:rFonts w:hint="eastAsia"/>
          <w:sz w:val="24"/>
          <w:u w:val="single"/>
        </w:rPr>
        <w:t xml:space="preserve">   </w:t>
      </w:r>
      <w:r>
        <w:rPr>
          <w:rFonts w:hint="eastAsia"/>
          <w:sz w:val="24"/>
        </w:rPr>
        <w:t>方承担；检测、检验（试验）的内容及方式为：</w:t>
      </w:r>
      <w:r>
        <w:rPr>
          <w:rFonts w:hint="eastAsia"/>
          <w:sz w:val="24"/>
          <w:u w:val="single"/>
        </w:rPr>
        <w:t xml:space="preserve">                                             </w:t>
      </w:r>
      <w:r>
        <w:rPr>
          <w:rFonts w:hint="eastAsia"/>
          <w:sz w:val="24"/>
        </w:rPr>
        <w:t>。检测、检验（试验）不合格的，视为货物交付未完成，并由乙方承担违约责任。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6.5 货物质量需要在投入使用或安装、调试、运行后才能验证的，经验收合格，方可视为货物质量合格，否则，视为货物交付未完成，并由乙方承担违约责任。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6.6 甲方采取抽样验收合格的，不能视为乙方全部物资质量合格。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6.7 甲方依照法律规定或合同约定退货的，如乙方在</w:t>
      </w:r>
      <w:r>
        <w:rPr>
          <w:rFonts w:hint="eastAsia"/>
          <w:sz w:val="24"/>
          <w:u w:val="single"/>
        </w:rPr>
        <w:t xml:space="preserve">  </w:t>
      </w:r>
      <w:r>
        <w:rPr>
          <w:rFonts w:hint="eastAsia"/>
          <w:sz w:val="24"/>
        </w:rPr>
        <w:t>日内不</w:t>
      </w:r>
      <w:r>
        <w:rPr>
          <w:rFonts w:hint="eastAsia"/>
          <w:sz w:val="24"/>
          <w:lang w:eastAsia="zh-CN"/>
        </w:rPr>
        <w:t>取</w:t>
      </w:r>
      <w:r>
        <w:rPr>
          <w:rFonts w:hint="eastAsia"/>
          <w:sz w:val="24"/>
        </w:rPr>
        <w:t>回货物，视为乙方放弃货物</w:t>
      </w:r>
      <w:r>
        <w:rPr>
          <w:rFonts w:hint="eastAsia"/>
          <w:sz w:val="24"/>
          <w:lang w:eastAsia="zh-CN"/>
        </w:rPr>
        <w:t>所</w:t>
      </w:r>
      <w:r>
        <w:rPr>
          <w:rFonts w:hint="eastAsia"/>
          <w:sz w:val="24"/>
        </w:rPr>
        <w:t>有权，甲方可在无需支付货款的条件下处置该货物，处置费用由乙方承担。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第七条 包装、附件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7.1 乙方提供的货物包装应符合国家有关同类或类似货物的包装标准，确保与其运输、装卸和储存条件相适应。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u w:val="single"/>
        </w:rPr>
      </w:pPr>
      <w:r>
        <w:rPr>
          <w:rFonts w:hint="eastAsia"/>
          <w:sz w:val="24"/>
        </w:rPr>
        <w:t>关于包装的特别约定：</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7.2 乙方应当向甲方提供相应的附件（专门与货物配套使用的配件、小型安装工具、小型检测仪器等），包括但不限于：</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第八条 其他约定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8.1 乙方应当对货物涉及的特殊技术、使用及维护应注意的关键问题向甲方人员进行技术交底</w:t>
      </w:r>
      <w:r>
        <w:rPr>
          <w:rFonts w:hint="eastAsia"/>
          <w:sz w:val="24"/>
          <w:lang w:eastAsia="zh-CN"/>
        </w:rPr>
        <w:t>和</w:t>
      </w:r>
      <w:r>
        <w:rPr>
          <w:rFonts w:hint="eastAsia"/>
          <w:sz w:val="24"/>
        </w:rPr>
        <w:t>培训，相关费用已含在合同价款中。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8.2 设备调试由乙方负责完成，相应检测、调试的工具、仪器由乙方提供，相关费用已含在合同价款中。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如因乙方违反上述约定，致使甲方蒙受损失，乙方应赔偿全部</w:t>
      </w:r>
      <w:r>
        <w:rPr>
          <w:rFonts w:hint="eastAsia"/>
          <w:sz w:val="24"/>
          <w:lang w:eastAsia="zh-CN"/>
        </w:rPr>
        <w:t>损失</w:t>
      </w:r>
      <w:r>
        <w:rPr>
          <w:rFonts w:hint="eastAsia"/>
          <w:sz w:val="24"/>
        </w:rPr>
        <w:t>，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8.4 甲方确保乙方运输、吊卸车辆进出场地畅通。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乙方车辆进入甲方施工现场，还应服从甲方关于保持现场环境卫生的管理规定，尽量减少噪声和粉尘，严禁野蛮装卸。车辆进入施工现场后如有泥浆、渣土等污物，应清洗后退场。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第九条 售后服务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9.1 货物验收合格并交付甲方后，乙方仍应对货物质量承担相应的保证责任，具体为：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质保内容：</w:t>
      </w:r>
      <w:r>
        <w:rPr>
          <w:rFonts w:hint="eastAsia"/>
          <w:sz w:val="24"/>
          <w:u w:val="single"/>
        </w:rPr>
        <w:t xml:space="preserve">                                 </w:t>
      </w:r>
      <w:r>
        <w:rPr>
          <w:rFonts w:hint="eastAsia"/>
          <w:sz w:val="24"/>
        </w:rPr>
        <w:t>；质保期截止时间为：</w:t>
      </w:r>
      <w:r>
        <w:rPr>
          <w:rFonts w:hint="eastAsia"/>
          <w:sz w:val="24"/>
          <w:u w:val="single"/>
        </w:rPr>
        <w:t xml:space="preserve">         </w:t>
      </w:r>
      <w:r>
        <w:rPr>
          <w:rFonts w:hint="eastAsia"/>
          <w:sz w:val="24"/>
        </w:rPr>
        <w:t>；质保金为总货款的</w:t>
      </w:r>
      <w:r>
        <w:rPr>
          <w:rFonts w:hint="eastAsia"/>
          <w:sz w:val="24"/>
          <w:u w:val="single"/>
        </w:rPr>
        <w:t xml:space="preserve">     </w:t>
      </w:r>
      <w:r>
        <w:rPr>
          <w:rFonts w:hint="eastAsia"/>
          <w:sz w:val="24"/>
        </w:rPr>
        <w:t>%，质保期满后付清，不计利息。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9.2 在质保期内，如甲方在操作使用、维护保养方面有任何疑问，乙方应提供技术咨询、指导服务。必要时应在</w:t>
      </w:r>
      <w:r>
        <w:rPr>
          <w:rFonts w:hint="eastAsia"/>
          <w:sz w:val="24"/>
          <w:u w:val="single"/>
        </w:rPr>
        <w:t xml:space="preserve">    </w:t>
      </w:r>
      <w:r>
        <w:rPr>
          <w:rFonts w:hint="eastAsia"/>
          <w:sz w:val="24"/>
        </w:rPr>
        <w:t>小时内派人到现场</w:t>
      </w:r>
      <w:r>
        <w:rPr>
          <w:rFonts w:hint="eastAsia"/>
          <w:sz w:val="24"/>
          <w:lang w:eastAsia="zh-CN"/>
        </w:rPr>
        <w:t>提供服务</w:t>
      </w:r>
      <w:r>
        <w:rPr>
          <w:rFonts w:hint="eastAsia"/>
          <w:sz w:val="24"/>
        </w:rPr>
        <w:t>，否则甲方有权扣除所有质保金。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9.3 质保期内，如设备出现故障，乙方应在接到甲方通知后</w:t>
      </w:r>
      <w:r>
        <w:rPr>
          <w:rFonts w:hint="eastAsia"/>
          <w:sz w:val="24"/>
          <w:u w:val="single"/>
        </w:rPr>
        <w:t xml:space="preserve">    </w:t>
      </w:r>
      <w:r>
        <w:rPr>
          <w:rFonts w:hint="eastAsia"/>
          <w:sz w:val="24"/>
        </w:rPr>
        <w:t>小时内派人赶到现场维修。如属甲方操作不当造成，甲方承担有关费用；如属其他原因，乙方承担有关费用。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如乙方接到通知后不能及时赶到现场，或不能在合理期限内修复故障，甲方有权聘请其他单位或人员进行维修，所有实际发生的费用，从质保金中扣除，不足部分向乙方追偿。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9.4 验收交付后</w:t>
      </w:r>
      <w:r>
        <w:rPr>
          <w:rFonts w:hint="eastAsia"/>
          <w:sz w:val="24"/>
          <w:u w:val="single"/>
        </w:rPr>
        <w:t xml:space="preserve">     </w:t>
      </w:r>
      <w:r>
        <w:rPr>
          <w:rFonts w:hint="eastAsia"/>
          <w:sz w:val="24"/>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第十条 价款调整、结算、发票、付款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10.1 本合同的价款，按下列第（</w:t>
      </w:r>
      <w:r>
        <w:rPr>
          <w:rFonts w:hint="eastAsia"/>
          <w:sz w:val="24"/>
          <w:lang w:val="en-US" w:eastAsia="zh-CN"/>
        </w:rPr>
        <w:t>3</w:t>
      </w:r>
      <w:r>
        <w:rPr>
          <w:rFonts w:hint="eastAsia"/>
          <w:sz w:val="24"/>
        </w:rPr>
        <w:t>）方式确定：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u w:val="single"/>
        </w:rPr>
      </w:pPr>
      <w:r>
        <w:rPr>
          <w:rFonts w:hint="eastAsia"/>
          <w:sz w:val="24"/>
        </w:rPr>
        <w:t>（1）固定</w:t>
      </w:r>
      <w:r>
        <w:rPr>
          <w:rFonts w:hint="eastAsia"/>
          <w:sz w:val="24"/>
          <w:lang w:eastAsia="zh-CN"/>
        </w:rPr>
        <w:t>总价</w:t>
      </w:r>
      <w:r>
        <w:rPr>
          <w:rFonts w:hint="eastAsia"/>
          <w:sz w:val="24"/>
        </w:rPr>
        <w:t>，如仅供应部分货物，则按以下方式结算：</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（2）固定单价，不可调价；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u w:val="single"/>
        </w:rPr>
      </w:pPr>
      <w:r>
        <w:rPr>
          <w:rFonts w:hint="eastAsia"/>
          <w:sz w:val="24"/>
        </w:rPr>
        <w:t>（3）可调价，调整因素包括：</w:t>
      </w:r>
      <w:r>
        <w:rPr>
          <w:rFonts w:hint="eastAsia"/>
          <w:sz w:val="24"/>
          <w:u w:val="single"/>
        </w:rPr>
        <w:t xml:space="preserve">                     ，</w:t>
      </w:r>
      <w:r>
        <w:rPr>
          <w:rFonts w:hint="eastAsia"/>
          <w:sz w:val="24"/>
        </w:rPr>
        <w:t>调价方式为</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10.2 如乙方所供货物不能完全符合合同约定，甲方愿意降低标准接收的，货物价格相应予以降低，具体调整方式为：</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10.3 供货完毕，乙方向甲方提供结算单，由甲方项目经理签字确认。如供货周期超过一个月，则每</w:t>
      </w:r>
      <w:r>
        <w:rPr>
          <w:rFonts w:hint="eastAsia"/>
          <w:sz w:val="24"/>
          <w:u w:val="single"/>
        </w:rPr>
        <w:t xml:space="preserve">   </w:t>
      </w:r>
      <w:r>
        <w:rPr>
          <w:rFonts w:hint="eastAsia"/>
          <w:sz w:val="24"/>
        </w:rPr>
        <w:t>结算一次。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10.4 除非本合同有特别约定，否则，所有税费均已含入本合同价款。乙方每次申请付款前，乙方应按甲方确认的结算金额，提供足额的增值税</w:t>
      </w:r>
      <w:r>
        <w:rPr>
          <w:rFonts w:hint="eastAsia"/>
          <w:sz w:val="24"/>
          <w:u w:val="single"/>
        </w:rPr>
        <w:t xml:space="preserve">     </w:t>
      </w:r>
      <w:r>
        <w:rPr>
          <w:rFonts w:hint="eastAsia"/>
          <w:sz w:val="24"/>
        </w:rPr>
        <w:t>发票。乙方未能提供合法有效的增值税</w:t>
      </w:r>
      <w:r>
        <w:rPr>
          <w:rFonts w:hint="eastAsia"/>
          <w:sz w:val="24"/>
          <w:u w:val="single"/>
        </w:rPr>
        <w:t xml:space="preserve">     </w:t>
      </w:r>
      <w:r>
        <w:rPr>
          <w:rFonts w:hint="eastAsia"/>
          <w:sz w:val="24"/>
        </w:rPr>
        <w:t>发票的，或乙方提</w:t>
      </w:r>
      <w:r>
        <w:rPr>
          <w:rFonts w:hint="eastAsia"/>
          <w:sz w:val="24"/>
          <w:lang w:eastAsia="zh-CN"/>
        </w:rPr>
        <w:t>供</w:t>
      </w:r>
      <w:r>
        <w:rPr>
          <w:rFonts w:hint="eastAsia"/>
          <w:sz w:val="24"/>
        </w:rPr>
        <w:t>的增值税</w:t>
      </w:r>
      <w:r>
        <w:rPr>
          <w:rFonts w:hint="eastAsia"/>
          <w:sz w:val="24"/>
          <w:u w:val="single"/>
        </w:rPr>
        <w:t xml:space="preserve">     </w:t>
      </w:r>
      <w:r>
        <w:rPr>
          <w:rFonts w:hint="eastAsia"/>
          <w:sz w:val="24"/>
        </w:rPr>
        <w:t>发票金额与结算金额不一致的</w:t>
      </w:r>
      <w:r>
        <w:rPr>
          <w:rFonts w:hint="eastAsia"/>
          <w:sz w:val="24"/>
          <w:lang w:eastAsia="zh-CN"/>
        </w:rPr>
        <w:t>，则</w:t>
      </w:r>
      <w:r>
        <w:rPr>
          <w:rFonts w:hint="eastAsia"/>
          <w:sz w:val="24"/>
        </w:rPr>
        <w:t>结算金额以结算单确认为准，</w:t>
      </w:r>
      <w:r>
        <w:rPr>
          <w:rFonts w:hint="eastAsia"/>
          <w:sz w:val="24"/>
          <w:lang w:eastAsia="zh-CN"/>
        </w:rPr>
        <w:t>并</w:t>
      </w:r>
      <w:r>
        <w:rPr>
          <w:rFonts w:hint="eastAsia"/>
          <w:sz w:val="24"/>
        </w:rPr>
        <w:t>应承担合同总额（含增值税）</w:t>
      </w:r>
      <w:r>
        <w:rPr>
          <w:rFonts w:hint="eastAsia"/>
          <w:sz w:val="24"/>
          <w:u w:val="single"/>
        </w:rPr>
        <w:t xml:space="preserve">   </w:t>
      </w:r>
      <w:r>
        <w:rPr>
          <w:rFonts w:hint="eastAsia"/>
          <w:sz w:val="24"/>
        </w:rPr>
        <w:t>%的违约金，同时甲方有权不予付款。因发票问题使得甲方蒙受损失（包括罚款、处理费用、经营受到影响等）的，乙方应当承担全部责任，并赔偿损失。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u w:val="single"/>
        </w:rPr>
      </w:pPr>
      <w:r>
        <w:rPr>
          <w:rFonts w:hint="eastAsia"/>
          <w:sz w:val="24"/>
        </w:rPr>
        <w:t>10.5 付款时间、比例：</w:t>
      </w:r>
      <w:r>
        <w:rPr>
          <w:rFonts w:hint="eastAsia"/>
          <w:b/>
          <w:bCs/>
          <w:sz w:val="24"/>
          <w:u w:val="single"/>
          <w:lang w:val="en-US" w:eastAsia="zh-CN"/>
        </w:rPr>
        <w:t>按月结算，每月10日前支付上月100%货款，付款时乙方应开具相应金额的增值税专用发票（税率13%）给甲方。</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第十一条 违约责任、合同的解除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11.1 甲方未按合同约定的付款期限和比例支付货款的，逾期付款超过一个月，则就应付未付金额部分按照每日万分之二的标准，承担逾期付款违约金。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11.2 乙方未按合同约定的时间履行其交货义务（包括安装、调试、检测等义务，如合同有此约定）的，每延迟一日，按</w:t>
      </w:r>
      <w:r>
        <w:rPr>
          <w:rFonts w:hint="eastAsia"/>
          <w:sz w:val="24"/>
          <w:u w:val="single"/>
        </w:rPr>
        <w:t xml:space="preserve">   </w:t>
      </w:r>
      <w:r>
        <w:rPr>
          <w:rFonts w:hint="eastAsia"/>
          <w:sz w:val="24"/>
        </w:rPr>
        <w:t>元/日的标准承担迟延违约金；甲方工地停工待料产生的费用等实际损失高于该标准的，按实际损失赔偿，乙方迟延供货超过</w:t>
      </w:r>
      <w:r>
        <w:rPr>
          <w:rFonts w:hint="eastAsia"/>
          <w:sz w:val="24"/>
          <w:u w:val="single"/>
        </w:rPr>
        <w:t xml:space="preserve">    </w:t>
      </w:r>
      <w:r>
        <w:rPr>
          <w:rFonts w:hint="eastAsia"/>
          <w:sz w:val="24"/>
        </w:rPr>
        <w:t>日，甲方有权解除合同。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乙方供应的货物质量不符合约定或产权不合法，甲方要求或同意更换货物的，执行上款规定。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11.3因乙方违约，甲方解除合同的，乙方除按11.2条款约定承担迟延供货违约金外，还就额外承担</w:t>
      </w:r>
      <w:r>
        <w:rPr>
          <w:rFonts w:hint="eastAsia"/>
          <w:sz w:val="24"/>
          <w:u w:val="single"/>
        </w:rPr>
        <w:t xml:space="preserve">    </w:t>
      </w:r>
      <w:r>
        <w:rPr>
          <w:rFonts w:hint="eastAsia"/>
          <w:sz w:val="24"/>
        </w:rPr>
        <w:t>元违约金，以弥补甲方另行购买所发生的误工及其他损失。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11.4 乙方违约的，甲方可从当期应付款中直接扣除相应的违约金，或在结算中扣减相应价款，也可另行追偿。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第十二条 合同授权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12.1 甲方授权下列人员行使本合同履约过程中的各项职权：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w:t>
      </w:r>
      <w:r>
        <w:rPr>
          <w:rFonts w:hint="eastAsia"/>
          <w:sz w:val="24"/>
          <w:u w:val="single"/>
        </w:rPr>
        <w:t xml:space="preserve">         </w:t>
      </w:r>
      <w:r>
        <w:rPr>
          <w:rFonts w:hint="eastAsia"/>
          <w:sz w:val="24"/>
        </w:rPr>
        <w:t>（身份证号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职权：收货、接收乙方提交的发票和货物的技术质量证明事宜；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（2）</w:t>
      </w:r>
      <w:r>
        <w:rPr>
          <w:rFonts w:hint="eastAsia"/>
          <w:sz w:val="24"/>
          <w:u w:val="single"/>
        </w:rPr>
        <w:t xml:space="preserve">              </w:t>
      </w:r>
      <w:r>
        <w:rPr>
          <w:rFonts w:hint="eastAsia"/>
          <w:sz w:val="24"/>
        </w:rPr>
        <w:t>（身份证号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职权：签署结算单据，依据本合同约定处理索赔事宜。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未取得甲方书面授权的人员所签署的任何文件、协议，以及获得授权的人员超越书面授权范围所签署的任何文件、协议，一概无效，且甲方对此不承担任何责任。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12.2 乙方授权下列人员行使本合同履约过程中的各项职权：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u w:val="single"/>
        </w:rPr>
        <w:t xml:space="preserve">              </w:t>
      </w:r>
      <w:r>
        <w:rPr>
          <w:rFonts w:hint="eastAsia"/>
          <w:sz w:val="24"/>
        </w:rPr>
        <w:t>（身份证号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），全权负责合同的履行，包括但不限于：签署发料单，签收甲方发出的各类通知，确认结算金额，变更合同条款，处理索赔事宜等。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12.3 一方如变更授权，应及时书面通知对方。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第十三条 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13.1 乙方可按本合同第十二条约定，向有权限的甲方人员当面送达，由其签收。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13.2 甲方可按以下方式向乙方送达：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（1）按本合同第十二条约定，向有权限的乙方人员当面送达，或以电话通知方式向其送达，甲方保留的语音通话记录、短信等可作为送达凭据。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（2）甲方亦可按以下地址邮寄送达：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u w:val="single"/>
        </w:rPr>
      </w:pPr>
      <w:r>
        <w:rPr>
          <w:rFonts w:hint="eastAsia"/>
          <w:sz w:val="24"/>
        </w:rPr>
        <w:t>乙方地址：</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u w:val="single"/>
        </w:rPr>
      </w:pPr>
      <w:r>
        <w:rPr>
          <w:rFonts w:hint="eastAsia"/>
          <w:sz w:val="24"/>
        </w:rPr>
        <w:t>邮    编：</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u w:val="single"/>
        </w:rPr>
      </w:pPr>
      <w:r>
        <w:rPr>
          <w:rFonts w:hint="eastAsia"/>
          <w:sz w:val="24"/>
        </w:rPr>
        <w:t>收 件 人：</w:t>
      </w:r>
      <w:r>
        <w:rPr>
          <w:rFonts w:hint="eastAsia"/>
          <w:sz w:val="24"/>
          <w:u w:val="single"/>
        </w:rPr>
        <w:t xml:space="preserve">                    </w:t>
      </w:r>
      <w:r>
        <w:rPr>
          <w:rFonts w:hint="eastAsia"/>
          <w:sz w:val="24"/>
        </w:rPr>
        <w:t>，收件人电话：</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10.3 一方送达方式如发生变更，应及时书面通知对方，否则责任自负。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第十四条 争议解决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全合同在履行过程中发生的争议，如双方当事人协商不成，双方约定采用下列第</w:t>
      </w:r>
      <w:r>
        <w:rPr>
          <w:rFonts w:hint="eastAsia"/>
          <w:sz w:val="24"/>
          <w:u w:val="single"/>
        </w:rPr>
        <w:t>（</w:t>
      </w:r>
      <w:r>
        <w:rPr>
          <w:rFonts w:hint="eastAsia"/>
          <w:sz w:val="24"/>
          <w:u w:val="single"/>
          <w:lang w:val="en-US" w:eastAsia="zh-CN"/>
        </w:rPr>
        <w:t>2</w:t>
      </w:r>
      <w:r>
        <w:rPr>
          <w:rFonts w:hint="eastAsia"/>
          <w:sz w:val="24"/>
          <w:u w:val="single"/>
        </w:rPr>
        <w:t>）</w:t>
      </w:r>
      <w:r>
        <w:rPr>
          <w:rFonts w:hint="eastAsia"/>
          <w:sz w:val="24"/>
        </w:rPr>
        <w:t>种方式解决争议：</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sz w:val="24"/>
          <w:szCs w:val="24"/>
        </w:rPr>
      </w:pPr>
      <w:r>
        <w:rPr>
          <w:rFonts w:hint="eastAsia"/>
          <w:sz w:val="24"/>
          <w:szCs w:val="24"/>
        </w:rPr>
        <w:t>向</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申请仲裁；</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sz w:val="24"/>
          <w:szCs w:val="24"/>
        </w:rPr>
      </w:pPr>
      <w:r>
        <w:rPr>
          <w:rFonts w:hint="eastAsia"/>
          <w:sz w:val="24"/>
          <w:szCs w:val="24"/>
        </w:rPr>
        <w:t>向甲方法人住所地人民法院起诉。</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sz w:val="24"/>
        </w:rPr>
      </w:pPr>
      <w:r>
        <w:rPr>
          <w:rFonts w:hint="eastAsia"/>
          <w:sz w:val="24"/>
        </w:rPr>
        <w:t>第十五条 合同变更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如需变更本合同条款，应签订书面协议，并加盖双方印章，方才有效。本合同中除填写空格部分外，手写修改之</w:t>
      </w:r>
      <w:r>
        <w:rPr>
          <w:rFonts w:hint="eastAsia"/>
          <w:sz w:val="24"/>
          <w:lang w:eastAsia="zh-CN"/>
        </w:rPr>
        <w:t>处</w:t>
      </w:r>
      <w:r>
        <w:rPr>
          <w:rFonts w:hint="eastAsia"/>
          <w:sz w:val="24"/>
        </w:rPr>
        <w:t>必须加盖双方印章方才有效。</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sz w:val="24"/>
        </w:rPr>
      </w:pPr>
      <w:r>
        <w:rPr>
          <w:rFonts w:hint="eastAsia"/>
          <w:sz w:val="24"/>
        </w:rPr>
        <w:t>第十六条 其他约定</w:t>
      </w:r>
    </w:p>
    <w:p>
      <w:pPr>
        <w:keepNext w:val="0"/>
        <w:keepLines w:val="0"/>
        <w:pageBreakBefore w:val="0"/>
        <w:widowControl w:val="0"/>
        <w:kinsoku/>
        <w:wordWrap/>
        <w:overflowPunct/>
        <w:topLinePunct w:val="0"/>
        <w:autoSpaceDE/>
        <w:autoSpaceDN/>
        <w:bidi w:val="0"/>
        <w:adjustRightInd/>
        <w:snapToGrid/>
        <w:spacing w:line="440" w:lineRule="exact"/>
        <w:ind w:left="420"/>
        <w:textAlignment w:val="auto"/>
        <w:rPr>
          <w:sz w:val="24"/>
          <w:u w:val="single"/>
        </w:rPr>
      </w:pP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第十七条 合同的生效及份数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本合同一式</w:t>
      </w:r>
      <w:r>
        <w:rPr>
          <w:rFonts w:hint="eastAsia"/>
          <w:sz w:val="24"/>
          <w:u w:val="single"/>
        </w:rPr>
        <w:t xml:space="preserve">    </w:t>
      </w:r>
      <w:r>
        <w:rPr>
          <w:rFonts w:hint="eastAsia"/>
          <w:sz w:val="24"/>
        </w:rPr>
        <w:t>份，甲方执</w:t>
      </w:r>
      <w:r>
        <w:rPr>
          <w:rFonts w:hint="eastAsia"/>
          <w:sz w:val="24"/>
          <w:u w:val="single"/>
        </w:rPr>
        <w:t xml:space="preserve">    </w:t>
      </w:r>
      <w:r>
        <w:rPr>
          <w:rFonts w:hint="eastAsia"/>
          <w:sz w:val="24"/>
        </w:rPr>
        <w:t>份，乙方执</w:t>
      </w:r>
      <w:r>
        <w:rPr>
          <w:rFonts w:hint="eastAsia"/>
          <w:sz w:val="24"/>
          <w:u w:val="single"/>
        </w:rPr>
        <w:t xml:space="preserve">    </w:t>
      </w:r>
      <w:r>
        <w:rPr>
          <w:rFonts w:hint="eastAsia"/>
          <w:sz w:val="24"/>
        </w:rPr>
        <w:t>份，自双方签字盖章之日起生效。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甲方（公章）：                              乙方（公章）：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法定代表人：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开户行：                                   开户行：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银行账号：                                 银行账号：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 xml:space="preserve">委托代理人：                               委托代理人：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联系电话：                                 联系电话：</w:t>
      </w:r>
    </w:p>
    <w:p>
      <w:pPr>
        <w:keepNext w:val="0"/>
        <w:keepLines w:val="0"/>
        <w:pageBreakBefore w:val="0"/>
        <w:widowControl w:val="0"/>
        <w:kinsoku/>
        <w:wordWrap/>
        <w:overflowPunct/>
        <w:topLinePunct w:val="0"/>
        <w:autoSpaceDE/>
        <w:autoSpaceDN/>
        <w:bidi w:val="0"/>
        <w:adjustRightInd/>
        <w:snapToGrid/>
        <w:spacing w:line="440" w:lineRule="exact"/>
        <w:ind w:firstLine="1080" w:firstLineChars="450"/>
        <w:textAlignment w:val="auto"/>
        <w:rPr>
          <w:sz w:val="24"/>
        </w:rPr>
      </w:pPr>
      <w:r>
        <w:rPr>
          <w:rFonts w:hint="eastAsia"/>
          <w:sz w:val="24"/>
        </w:rPr>
        <w:t xml:space="preserve">年    月   日                             年    月    日  </w:t>
      </w: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pPr>
        <w:pStyle w:val="2"/>
        <w:spacing w:line="240" w:lineRule="auto"/>
        <w:jc w:val="center"/>
        <w:rPr>
          <w:rFonts w:hint="eastAsia" w:hAnsi="宋体" w:cs="Arial"/>
          <w:kern w:val="0"/>
        </w:rPr>
      </w:pPr>
    </w:p>
    <w:p>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pPr>
        <w:spacing w:line="360" w:lineRule="auto"/>
        <w:ind w:left="420"/>
        <w:jc w:val="left"/>
        <w:rPr>
          <w:rFonts w:hint="eastAsia" w:ascii="宋体" w:hAnsi="宋体"/>
          <w:sz w:val="24"/>
        </w:rPr>
      </w:pPr>
      <w:r>
        <w:rPr>
          <w:rFonts w:hint="eastAsia" w:ascii="宋体" w:hAnsi="宋体"/>
          <w:b/>
          <w:sz w:val="24"/>
        </w:rPr>
        <w:t>浙江省隧道工程集团有限公司 ：</w:t>
      </w:r>
    </w:p>
    <w:p>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lang w:val="en-US" w:eastAsia="zh-CN"/>
        </w:rPr>
        <w:t xml:space="preserve"> </w:t>
      </w:r>
      <w:r>
        <w:rPr>
          <w:rFonts w:hint="eastAsia" w:ascii="宋体" w:hAnsi="宋体"/>
          <w:color w:val="auto"/>
          <w:sz w:val="24"/>
          <w:u w:val="single"/>
          <w:lang w:val="en-US" w:eastAsia="zh-CN"/>
        </w:rPr>
        <w:t xml:space="preserve">温州市瓯江引水工程三标段EPC工程总承包  </w:t>
      </w:r>
      <w:r>
        <w:rPr>
          <w:rFonts w:hint="eastAsia" w:ascii="宋体" w:hAnsi="宋体"/>
          <w:sz w:val="24"/>
        </w:rPr>
        <w:t>项目的</w:t>
      </w:r>
      <w:r>
        <w:rPr>
          <w:rFonts w:hint="eastAsia" w:ascii="宋体" w:hAnsi="宋体"/>
          <w:sz w:val="24"/>
          <w:lang w:val="en-US" w:eastAsia="zh-CN"/>
        </w:rPr>
        <w:t>钢筋混凝土管节材料采购</w:t>
      </w:r>
      <w:r>
        <w:rPr>
          <w:rFonts w:hint="eastAsia" w:ascii="宋体" w:hAnsi="宋体"/>
          <w:sz w:val="24"/>
        </w:rPr>
        <w:t xml:space="preserve">投标人，在遵守本次招标文件规定的前提下，作出如下郑重承诺： </w:t>
      </w:r>
    </w:p>
    <w:p>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1. 在投标期间，我方将严格遵守《中华人民共和国招标投标法</w:t>
      </w:r>
      <w:r>
        <w:rPr>
          <w:rFonts w:hint="eastAsia" w:ascii="宋体" w:hAnsi="宋体"/>
          <w:sz w:val="24"/>
          <w:lang w:eastAsia="zh-CN"/>
        </w:rPr>
        <w:t>》《</w:t>
      </w:r>
      <w:r>
        <w:rPr>
          <w:rFonts w:hint="eastAsia" w:ascii="宋体" w:hAnsi="宋体"/>
          <w:sz w:val="24"/>
        </w:rPr>
        <w:t xml:space="preserve">中华人民共和国反不正当竞争法》等法律、法规的规定，并承担相关的法律责任。 </w:t>
      </w:r>
    </w:p>
    <w:p>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pPr>
        <w:adjustRightInd w:val="0"/>
        <w:snapToGrid w:val="0"/>
        <w:spacing w:line="360" w:lineRule="auto"/>
        <w:ind w:left="420"/>
        <w:jc w:val="left"/>
        <w:rPr>
          <w:rFonts w:hint="eastAsia" w:ascii="宋体" w:hAnsi="宋体"/>
          <w:sz w:val="24"/>
        </w:rPr>
      </w:pP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 xml:space="preserve">投标单位 </w:t>
      </w:r>
      <w:r>
        <w:rPr>
          <w:rFonts w:hint="eastAsia" w:ascii="宋体" w:hAnsi="宋体"/>
          <w:sz w:val="24"/>
          <w:lang w:eastAsia="zh-CN"/>
        </w:rPr>
        <w:t>（</w:t>
      </w:r>
      <w:r>
        <w:rPr>
          <w:rFonts w:hint="eastAsia" w:ascii="宋体" w:hAnsi="宋体"/>
          <w:sz w:val="24"/>
        </w:rPr>
        <w:t>盖章) ：</w:t>
      </w: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w:t>
      </w:r>
      <w:r>
        <w:rPr>
          <w:rFonts w:hint="eastAsia" w:ascii="宋体" w:hAnsi="宋体"/>
          <w:sz w:val="24"/>
          <w:lang w:eastAsia="zh-CN"/>
        </w:rPr>
        <w:t>（</w:t>
      </w:r>
      <w:r>
        <w:rPr>
          <w:rFonts w:hint="eastAsia" w:ascii="宋体" w:hAnsi="宋体"/>
          <w:sz w:val="24"/>
        </w:rPr>
        <w:t>或委托代理人)签字：</w:t>
      </w: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pPr>
        <w:spacing w:line="400" w:lineRule="exact"/>
        <w:rPr>
          <w:rFonts w:hint="eastAsia" w:ascii="宋体" w:hAnsi="宋体" w:cs="Arial"/>
          <w:kern w:val="0"/>
          <w:sz w:val="24"/>
          <w:u w:val="single"/>
        </w:rPr>
      </w:pPr>
    </w:p>
    <w:p>
      <w:pPr>
        <w:spacing w:line="400" w:lineRule="exact"/>
        <w:rPr>
          <w:rFonts w:hint="eastAsia" w:ascii="宋体" w:hAnsi="宋体" w:cs="Arial"/>
          <w:kern w:val="0"/>
          <w:sz w:val="24"/>
          <w:u w:val="single"/>
        </w:rPr>
      </w:pPr>
    </w:p>
    <w:p>
      <w:pPr>
        <w:spacing w:line="400" w:lineRule="exact"/>
        <w:rPr>
          <w:rFonts w:hint="eastAsia" w:ascii="宋体" w:hAnsi="宋体" w:cs="Arial"/>
          <w:kern w:val="0"/>
          <w:sz w:val="24"/>
          <w:u w:val="single"/>
        </w:rPr>
      </w:pPr>
    </w:p>
    <w:p>
      <w:pPr>
        <w:pStyle w:val="2"/>
        <w:spacing w:line="240" w:lineRule="auto"/>
        <w:rPr>
          <w:rFonts w:hint="eastAsia" w:hAnsi="宋体" w:cs="Arial"/>
          <w:kern w:val="0"/>
          <w:u w:val="single"/>
        </w:rPr>
      </w:pPr>
      <w:r>
        <w:rPr>
          <w:rFonts w:hAnsi="宋体" w:cs="Arial"/>
          <w:kern w:val="0"/>
          <w:u w:val="single"/>
        </w:rPr>
        <w:br w:type="page"/>
      </w:r>
      <w:bookmarkStart w:id="46" w:name="_Toc243928859"/>
    </w:p>
    <w:p>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开标一览表</w:t>
      </w:r>
      <w:bookmarkEnd w:id="46"/>
    </w:p>
    <w:p>
      <w:pPr>
        <w:rPr>
          <w:rFonts w:hint="eastAsia" w:ascii="宋体" w:hAnsi="宋体"/>
        </w:rPr>
      </w:pPr>
    </w:p>
    <w:p>
      <w:pPr>
        <w:adjustRightInd w:val="0"/>
        <w:snapToGrid w:val="0"/>
        <w:spacing w:line="360" w:lineRule="auto"/>
        <w:jc w:val="left"/>
        <w:rPr>
          <w:rFonts w:hint="eastAsia" w:ascii="宋体" w:hAnsi="宋体"/>
          <w:sz w:val="24"/>
        </w:rPr>
      </w:pPr>
      <w:r>
        <w:rPr>
          <w:rFonts w:hint="eastAsia" w:ascii="宋体" w:hAnsi="宋体"/>
          <w:sz w:val="24"/>
        </w:rPr>
        <w:t>浙江省隧道工程集团有限公司：</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按你方招标文件要求，我们</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，本标书签字方，谨此向你方发出要约如下：如你方接受本投标，我方承诺按</w:t>
      </w:r>
      <w:r>
        <w:rPr>
          <w:rFonts w:hint="eastAsia" w:ascii="宋体" w:hAnsi="宋体"/>
          <w:sz w:val="24"/>
          <w:lang w:eastAsia="zh-CN"/>
        </w:rPr>
        <w:t>以</w:t>
      </w:r>
      <w:r>
        <w:rPr>
          <w:rFonts w:hint="eastAsia" w:ascii="宋体" w:hAnsi="宋体"/>
          <w:sz w:val="24"/>
        </w:rPr>
        <w:t>下开标一览表的服务</w:t>
      </w:r>
      <w:r>
        <w:rPr>
          <w:rFonts w:hint="eastAsia" w:ascii="宋体" w:hAnsi="宋体"/>
          <w:sz w:val="24"/>
          <w:lang w:eastAsia="zh-CN"/>
        </w:rPr>
        <w:t>内容和</w:t>
      </w:r>
      <w:r>
        <w:rPr>
          <w:rFonts w:hint="eastAsia" w:ascii="宋体" w:hAnsi="宋体"/>
          <w:sz w:val="24"/>
        </w:rPr>
        <w:t>期限</w:t>
      </w:r>
      <w:r>
        <w:rPr>
          <w:rFonts w:hint="eastAsia" w:ascii="宋体" w:hAnsi="宋体"/>
          <w:sz w:val="24"/>
          <w:lang w:eastAsia="zh-CN"/>
        </w:rPr>
        <w:t>，安排相关</w:t>
      </w:r>
      <w:r>
        <w:rPr>
          <w:rFonts w:hint="eastAsia" w:ascii="宋体" w:hAnsi="宋体"/>
          <w:sz w:val="24"/>
        </w:rPr>
        <w:t>人</w:t>
      </w:r>
      <w:r>
        <w:rPr>
          <w:rFonts w:hint="eastAsia" w:ascii="宋体" w:hAnsi="宋体"/>
          <w:sz w:val="24"/>
          <w:lang w:eastAsia="zh-CN"/>
        </w:rPr>
        <w:t>员来</w:t>
      </w:r>
      <w:r>
        <w:rPr>
          <w:rFonts w:hint="eastAsia" w:ascii="宋体" w:hAnsi="宋体"/>
          <w:sz w:val="24"/>
        </w:rPr>
        <w:t>完成编号为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的招标文件（项目名称：XXXXXXXX）项目的</w:t>
      </w:r>
      <w:r>
        <w:rPr>
          <w:rFonts w:hint="eastAsia" w:ascii="宋体" w:hAnsi="宋体"/>
          <w:sz w:val="24"/>
          <w:lang w:val="en-US" w:eastAsia="zh-CN"/>
        </w:rPr>
        <w:t>XXXX</w:t>
      </w:r>
      <w:r>
        <w:rPr>
          <w:rFonts w:hint="eastAsia" w:ascii="宋体" w:hAnsi="宋体"/>
          <w:sz w:val="24"/>
        </w:rPr>
        <w:t>材料</w:t>
      </w:r>
      <w:r>
        <w:rPr>
          <w:rFonts w:hint="eastAsia" w:ascii="宋体" w:hAnsi="宋体"/>
          <w:sz w:val="24"/>
          <w:lang w:eastAsia="zh-CN"/>
        </w:rPr>
        <w:t>供应</w:t>
      </w:r>
      <w:r>
        <w:rPr>
          <w:rFonts w:hint="eastAsia" w:ascii="宋体" w:hAnsi="宋体"/>
          <w:sz w:val="24"/>
        </w:rPr>
        <w:t>。</w:t>
      </w:r>
    </w:p>
    <w:p>
      <w:pPr>
        <w:adjustRightInd w:val="0"/>
        <w:snapToGrid w:val="0"/>
        <w:spacing w:line="360" w:lineRule="auto"/>
        <w:jc w:val="center"/>
        <w:rPr>
          <w:rFonts w:hint="eastAsia" w:ascii="宋体" w:hAnsi="宋体"/>
          <w:sz w:val="24"/>
          <w:lang w:val="en-US" w:eastAsia="zh-CN"/>
        </w:rPr>
      </w:pPr>
      <w:r>
        <w:rPr>
          <w:rFonts w:hint="eastAsia" w:ascii="宋体" w:hAnsi="宋体"/>
          <w:sz w:val="24"/>
          <w:lang w:val="en-US" w:eastAsia="zh-CN"/>
        </w:rPr>
        <w:t xml:space="preserve"> </w:t>
      </w:r>
    </w:p>
    <w:p>
      <w:pPr>
        <w:adjustRightInd w:val="0"/>
        <w:snapToGrid w:val="0"/>
        <w:spacing w:line="360" w:lineRule="auto"/>
        <w:jc w:val="center"/>
        <w:rPr>
          <w:rFonts w:hint="eastAsia" w:ascii="宋体" w:hAnsi="宋体" w:eastAsiaTheme="minorEastAsia"/>
          <w:sz w:val="24"/>
          <w:lang w:eastAsia="zh-CN"/>
        </w:rPr>
      </w:pPr>
      <w:r>
        <w:rPr>
          <w:rFonts w:hint="eastAsia" w:ascii="宋体" w:hAnsi="宋体"/>
          <w:sz w:val="24"/>
          <w:lang w:eastAsia="zh-CN"/>
        </w:rPr>
        <w:t>开标一览表</w:t>
      </w:r>
    </w:p>
    <w:tbl>
      <w:tblPr>
        <w:tblStyle w:val="8"/>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276"/>
        <w:gridCol w:w="850"/>
        <w:gridCol w:w="548"/>
        <w:gridCol w:w="1155"/>
        <w:gridCol w:w="1416"/>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702" w:type="dxa"/>
            <w:noWrap w:val="0"/>
            <w:vAlign w:val="center"/>
          </w:tcPr>
          <w:p>
            <w:pPr>
              <w:adjustRightInd w:val="0"/>
              <w:snapToGrid w:val="0"/>
              <w:spacing w:line="360" w:lineRule="auto"/>
              <w:jc w:val="center"/>
              <w:rPr>
                <w:rFonts w:hint="eastAsia" w:ascii="宋体" w:hAnsi="宋体"/>
                <w:b/>
                <w:sz w:val="24"/>
              </w:rPr>
            </w:pPr>
            <w:r>
              <w:rPr>
                <w:rFonts w:hint="eastAsia" w:ascii="宋体" w:hAnsi="宋体"/>
                <w:b/>
                <w:sz w:val="24"/>
              </w:rPr>
              <w:t>品 名</w:t>
            </w:r>
          </w:p>
        </w:tc>
        <w:tc>
          <w:tcPr>
            <w:tcW w:w="1276" w:type="dxa"/>
            <w:noWrap w:val="0"/>
            <w:vAlign w:val="center"/>
          </w:tcPr>
          <w:p>
            <w:pPr>
              <w:adjustRightInd w:val="0"/>
              <w:snapToGrid w:val="0"/>
              <w:spacing w:line="360" w:lineRule="auto"/>
              <w:jc w:val="center"/>
              <w:rPr>
                <w:rFonts w:hint="eastAsia" w:ascii="宋体" w:hAnsi="宋体"/>
                <w:b/>
                <w:sz w:val="24"/>
              </w:rPr>
            </w:pPr>
            <w:r>
              <w:rPr>
                <w:rFonts w:hint="eastAsia" w:ascii="宋体" w:hAnsi="宋体"/>
                <w:b/>
                <w:sz w:val="24"/>
              </w:rPr>
              <w:t>规格型号</w:t>
            </w:r>
          </w:p>
        </w:tc>
        <w:tc>
          <w:tcPr>
            <w:tcW w:w="850" w:type="dxa"/>
            <w:noWrap w:val="0"/>
            <w:vAlign w:val="center"/>
          </w:tcPr>
          <w:p>
            <w:pPr>
              <w:adjustRightInd w:val="0"/>
              <w:snapToGrid w:val="0"/>
              <w:spacing w:line="360" w:lineRule="auto"/>
              <w:jc w:val="center"/>
              <w:rPr>
                <w:rFonts w:hint="eastAsia" w:ascii="宋体" w:hAnsi="宋体"/>
                <w:b/>
                <w:sz w:val="24"/>
              </w:rPr>
            </w:pPr>
            <w:r>
              <w:rPr>
                <w:rFonts w:hint="eastAsia" w:ascii="宋体" w:hAnsi="宋体"/>
                <w:b/>
                <w:sz w:val="24"/>
              </w:rPr>
              <w:t>质量标准</w:t>
            </w:r>
          </w:p>
        </w:tc>
        <w:tc>
          <w:tcPr>
            <w:tcW w:w="548" w:type="dxa"/>
            <w:noWrap w:val="0"/>
            <w:vAlign w:val="center"/>
          </w:tcPr>
          <w:p>
            <w:pPr>
              <w:adjustRightInd w:val="0"/>
              <w:snapToGrid w:val="0"/>
              <w:spacing w:line="360" w:lineRule="auto"/>
              <w:jc w:val="center"/>
              <w:rPr>
                <w:rFonts w:hint="eastAsia" w:ascii="宋体" w:hAnsi="宋体"/>
                <w:b/>
                <w:sz w:val="24"/>
              </w:rPr>
            </w:pPr>
            <w:r>
              <w:rPr>
                <w:rFonts w:hint="eastAsia" w:ascii="宋体" w:hAnsi="宋体"/>
                <w:b/>
                <w:sz w:val="24"/>
              </w:rPr>
              <w:t>单位</w:t>
            </w:r>
          </w:p>
        </w:tc>
        <w:tc>
          <w:tcPr>
            <w:tcW w:w="1155" w:type="dxa"/>
            <w:noWrap w:val="0"/>
            <w:vAlign w:val="center"/>
          </w:tcPr>
          <w:p>
            <w:pPr>
              <w:adjustRightInd w:val="0"/>
              <w:snapToGrid w:val="0"/>
              <w:spacing w:line="360" w:lineRule="auto"/>
              <w:jc w:val="center"/>
              <w:rPr>
                <w:rFonts w:hint="eastAsia" w:ascii="宋体" w:hAnsi="宋体"/>
                <w:b/>
                <w:sz w:val="24"/>
              </w:rPr>
            </w:pPr>
            <w:r>
              <w:rPr>
                <w:rFonts w:hint="eastAsia" w:ascii="宋体" w:hAnsi="宋体"/>
                <w:b/>
                <w:sz w:val="24"/>
              </w:rPr>
              <w:t>暂定</w:t>
            </w:r>
          </w:p>
          <w:p>
            <w:pPr>
              <w:adjustRightInd w:val="0"/>
              <w:snapToGrid w:val="0"/>
              <w:spacing w:line="360" w:lineRule="auto"/>
              <w:jc w:val="center"/>
              <w:rPr>
                <w:rFonts w:hint="eastAsia" w:ascii="宋体" w:hAnsi="宋体"/>
                <w:b/>
                <w:sz w:val="24"/>
              </w:rPr>
            </w:pPr>
            <w:r>
              <w:rPr>
                <w:rFonts w:hint="eastAsia" w:ascii="宋体" w:hAnsi="宋体"/>
                <w:b/>
                <w:sz w:val="24"/>
              </w:rPr>
              <w:t>工程量</w:t>
            </w:r>
          </w:p>
        </w:tc>
        <w:tc>
          <w:tcPr>
            <w:tcW w:w="1416" w:type="dxa"/>
            <w:noWrap w:val="0"/>
            <w:vAlign w:val="center"/>
          </w:tcPr>
          <w:p>
            <w:pPr>
              <w:adjustRightInd w:val="0"/>
              <w:snapToGrid w:val="0"/>
              <w:spacing w:line="360" w:lineRule="auto"/>
              <w:jc w:val="center"/>
              <w:rPr>
                <w:rFonts w:hint="eastAsia" w:ascii="宋体" w:hAnsi="宋体"/>
                <w:b/>
                <w:sz w:val="24"/>
              </w:rPr>
            </w:pPr>
            <w:r>
              <w:rPr>
                <w:rFonts w:hint="eastAsia" w:ascii="宋体" w:hAnsi="宋体"/>
                <w:b/>
                <w:sz w:val="24"/>
              </w:rPr>
              <w:t>投标报价</w:t>
            </w:r>
          </w:p>
          <w:p>
            <w:pPr>
              <w:adjustRightInd w:val="0"/>
              <w:snapToGrid w:val="0"/>
              <w:spacing w:line="360" w:lineRule="auto"/>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m</w:t>
            </w:r>
            <w:r>
              <w:rPr>
                <w:rFonts w:hint="eastAsia" w:ascii="宋体" w:hAnsi="宋体"/>
                <w:b/>
                <w:sz w:val="24"/>
              </w:rPr>
              <w:t>）</w:t>
            </w:r>
          </w:p>
        </w:tc>
        <w:tc>
          <w:tcPr>
            <w:tcW w:w="1559" w:type="dxa"/>
            <w:noWrap w:val="0"/>
            <w:vAlign w:val="center"/>
          </w:tcPr>
          <w:p>
            <w:pPr>
              <w:adjustRightInd w:val="0"/>
              <w:snapToGrid w:val="0"/>
              <w:spacing w:line="360" w:lineRule="auto"/>
              <w:jc w:val="center"/>
              <w:rPr>
                <w:rFonts w:hint="eastAsia" w:ascii="宋体" w:hAnsi="宋体"/>
                <w:b/>
                <w:sz w:val="24"/>
              </w:rPr>
            </w:pPr>
            <w:r>
              <w:rPr>
                <w:rFonts w:hint="eastAsia" w:ascii="宋体" w:hAnsi="宋体"/>
                <w:b/>
                <w:sz w:val="24"/>
              </w:rPr>
              <w:t>合价</w:t>
            </w:r>
          </w:p>
          <w:p>
            <w:pPr>
              <w:adjustRightInd w:val="0"/>
              <w:snapToGrid w:val="0"/>
              <w:spacing w:line="360" w:lineRule="auto"/>
              <w:jc w:val="center"/>
              <w:rPr>
                <w:rFonts w:hint="eastAsia" w:ascii="宋体" w:hAnsi="宋体"/>
                <w:b/>
                <w:sz w:val="24"/>
              </w:rPr>
            </w:pPr>
            <w:r>
              <w:rPr>
                <w:rFonts w:hint="eastAsia" w:ascii="宋体" w:hAnsi="宋体"/>
                <w:b/>
                <w:sz w:val="24"/>
              </w:rPr>
              <w:t>（元）</w:t>
            </w:r>
          </w:p>
        </w:tc>
        <w:tc>
          <w:tcPr>
            <w:tcW w:w="1418" w:type="dxa"/>
            <w:noWrap w:val="0"/>
            <w:vAlign w:val="center"/>
          </w:tcPr>
          <w:p>
            <w:pPr>
              <w:adjustRightInd w:val="0"/>
              <w:snapToGrid w:val="0"/>
              <w:spacing w:line="360" w:lineRule="auto"/>
              <w:jc w:val="center"/>
              <w:rPr>
                <w:rFonts w:hint="eastAsia" w:ascii="宋体" w:hAnsi="宋体"/>
                <w:b/>
                <w:sz w:val="24"/>
              </w:rPr>
            </w:pPr>
            <w:r>
              <w:rPr>
                <w:rFonts w:hint="eastAsia" w:ascii="宋体" w:hAnsi="宋体"/>
                <w:b/>
                <w:sz w:val="24"/>
              </w:rPr>
              <w:t>备注</w:t>
            </w:r>
          </w:p>
          <w:p>
            <w:pPr>
              <w:adjustRightInd w:val="0"/>
              <w:snapToGrid w:val="0"/>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702" w:type="dxa"/>
            <w:noWrap w:val="0"/>
            <w:vAlign w:val="center"/>
          </w:tcPr>
          <w:p>
            <w:pPr>
              <w:adjustRightInd w:val="0"/>
              <w:snapToGrid w:val="0"/>
              <w:spacing w:line="360" w:lineRule="auto"/>
              <w:jc w:val="center"/>
              <w:rPr>
                <w:rFonts w:hint="eastAsia" w:ascii="宋体" w:hAnsi="宋体"/>
                <w:sz w:val="24"/>
              </w:rPr>
            </w:pPr>
          </w:p>
        </w:tc>
        <w:tc>
          <w:tcPr>
            <w:tcW w:w="1276" w:type="dxa"/>
            <w:noWrap w:val="0"/>
            <w:vAlign w:val="center"/>
          </w:tcPr>
          <w:p>
            <w:pPr>
              <w:adjustRightInd w:val="0"/>
              <w:snapToGrid w:val="0"/>
              <w:spacing w:line="360" w:lineRule="auto"/>
              <w:jc w:val="center"/>
              <w:rPr>
                <w:rFonts w:hint="eastAsia" w:ascii="宋体" w:hAnsi="宋体"/>
                <w:sz w:val="24"/>
              </w:rPr>
            </w:pPr>
          </w:p>
        </w:tc>
        <w:tc>
          <w:tcPr>
            <w:tcW w:w="850" w:type="dxa"/>
            <w:noWrap w:val="0"/>
            <w:vAlign w:val="center"/>
          </w:tcPr>
          <w:p>
            <w:pPr>
              <w:adjustRightInd w:val="0"/>
              <w:snapToGrid w:val="0"/>
              <w:spacing w:line="360" w:lineRule="auto"/>
              <w:jc w:val="center"/>
              <w:rPr>
                <w:rFonts w:hint="eastAsia" w:ascii="宋体" w:hAnsi="宋体"/>
                <w:sz w:val="24"/>
              </w:rPr>
            </w:pPr>
          </w:p>
        </w:tc>
        <w:tc>
          <w:tcPr>
            <w:tcW w:w="548" w:type="dxa"/>
            <w:noWrap w:val="0"/>
            <w:vAlign w:val="center"/>
          </w:tcPr>
          <w:p>
            <w:pPr>
              <w:adjustRightInd w:val="0"/>
              <w:snapToGrid w:val="0"/>
              <w:spacing w:line="360" w:lineRule="auto"/>
              <w:jc w:val="center"/>
              <w:rPr>
                <w:rFonts w:hint="eastAsia" w:ascii="宋体" w:hAnsi="宋体"/>
                <w:sz w:val="24"/>
              </w:rPr>
            </w:pPr>
          </w:p>
        </w:tc>
        <w:tc>
          <w:tcPr>
            <w:tcW w:w="1155" w:type="dxa"/>
            <w:noWrap w:val="0"/>
            <w:vAlign w:val="center"/>
          </w:tcPr>
          <w:p>
            <w:pPr>
              <w:adjustRightInd w:val="0"/>
              <w:snapToGrid w:val="0"/>
              <w:spacing w:line="360" w:lineRule="auto"/>
              <w:jc w:val="center"/>
              <w:rPr>
                <w:rFonts w:hint="eastAsia" w:ascii="宋体" w:hAnsi="宋体"/>
                <w:sz w:val="24"/>
              </w:rPr>
            </w:pPr>
          </w:p>
        </w:tc>
        <w:tc>
          <w:tcPr>
            <w:tcW w:w="1416" w:type="dxa"/>
            <w:noWrap w:val="0"/>
            <w:vAlign w:val="center"/>
          </w:tcPr>
          <w:p>
            <w:pPr>
              <w:adjustRightInd w:val="0"/>
              <w:snapToGrid w:val="0"/>
              <w:spacing w:line="360" w:lineRule="auto"/>
              <w:jc w:val="center"/>
              <w:rPr>
                <w:rFonts w:hint="eastAsia" w:ascii="宋体" w:hAnsi="宋体"/>
                <w:sz w:val="24"/>
              </w:rPr>
            </w:pPr>
          </w:p>
        </w:tc>
        <w:tc>
          <w:tcPr>
            <w:tcW w:w="1559" w:type="dxa"/>
            <w:noWrap w:val="0"/>
            <w:vAlign w:val="center"/>
          </w:tcPr>
          <w:p>
            <w:pPr>
              <w:adjustRightInd w:val="0"/>
              <w:snapToGrid w:val="0"/>
              <w:spacing w:line="360" w:lineRule="auto"/>
              <w:jc w:val="center"/>
              <w:rPr>
                <w:rFonts w:hint="eastAsia" w:ascii="宋体" w:hAnsi="宋体"/>
                <w:sz w:val="24"/>
              </w:rPr>
            </w:pPr>
          </w:p>
        </w:tc>
        <w:tc>
          <w:tcPr>
            <w:tcW w:w="1418" w:type="dxa"/>
            <w:noWrap w:val="0"/>
            <w:vAlign w:val="center"/>
          </w:tcPr>
          <w:p>
            <w:pPr>
              <w:adjustRightInd w:val="0"/>
              <w:snapToGrid w:val="0"/>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702" w:type="dxa"/>
            <w:noWrap w:val="0"/>
            <w:vAlign w:val="center"/>
          </w:tcPr>
          <w:p>
            <w:pPr>
              <w:adjustRightInd w:val="0"/>
              <w:snapToGrid w:val="0"/>
              <w:spacing w:line="360" w:lineRule="auto"/>
              <w:jc w:val="center"/>
              <w:rPr>
                <w:rFonts w:hint="eastAsia" w:ascii="宋体" w:hAnsi="宋体"/>
                <w:sz w:val="24"/>
              </w:rPr>
            </w:pPr>
          </w:p>
        </w:tc>
        <w:tc>
          <w:tcPr>
            <w:tcW w:w="1276" w:type="dxa"/>
            <w:noWrap w:val="0"/>
            <w:vAlign w:val="center"/>
          </w:tcPr>
          <w:p>
            <w:pPr>
              <w:adjustRightInd w:val="0"/>
              <w:snapToGrid w:val="0"/>
              <w:spacing w:line="360" w:lineRule="auto"/>
              <w:jc w:val="center"/>
              <w:rPr>
                <w:rFonts w:hint="eastAsia" w:ascii="宋体" w:hAnsi="宋体"/>
                <w:sz w:val="24"/>
              </w:rPr>
            </w:pPr>
          </w:p>
        </w:tc>
        <w:tc>
          <w:tcPr>
            <w:tcW w:w="850" w:type="dxa"/>
            <w:noWrap w:val="0"/>
            <w:vAlign w:val="center"/>
          </w:tcPr>
          <w:p>
            <w:pPr>
              <w:adjustRightInd w:val="0"/>
              <w:snapToGrid w:val="0"/>
              <w:spacing w:line="360" w:lineRule="auto"/>
              <w:jc w:val="center"/>
              <w:rPr>
                <w:rFonts w:hint="eastAsia" w:ascii="宋体" w:hAnsi="宋体"/>
                <w:sz w:val="24"/>
              </w:rPr>
            </w:pPr>
          </w:p>
        </w:tc>
        <w:tc>
          <w:tcPr>
            <w:tcW w:w="548" w:type="dxa"/>
            <w:noWrap w:val="0"/>
            <w:vAlign w:val="center"/>
          </w:tcPr>
          <w:p>
            <w:pPr>
              <w:adjustRightInd w:val="0"/>
              <w:snapToGrid w:val="0"/>
              <w:spacing w:line="360" w:lineRule="auto"/>
              <w:jc w:val="center"/>
              <w:rPr>
                <w:rFonts w:hint="eastAsia" w:ascii="宋体" w:hAnsi="宋体"/>
                <w:sz w:val="24"/>
              </w:rPr>
            </w:pPr>
          </w:p>
        </w:tc>
        <w:tc>
          <w:tcPr>
            <w:tcW w:w="1155" w:type="dxa"/>
            <w:noWrap w:val="0"/>
            <w:vAlign w:val="center"/>
          </w:tcPr>
          <w:p>
            <w:pPr>
              <w:adjustRightInd w:val="0"/>
              <w:snapToGrid w:val="0"/>
              <w:spacing w:line="360" w:lineRule="auto"/>
              <w:jc w:val="center"/>
              <w:rPr>
                <w:rFonts w:hint="eastAsia" w:ascii="宋体" w:hAnsi="宋体"/>
                <w:sz w:val="24"/>
              </w:rPr>
            </w:pPr>
          </w:p>
        </w:tc>
        <w:tc>
          <w:tcPr>
            <w:tcW w:w="1416" w:type="dxa"/>
            <w:noWrap w:val="0"/>
            <w:vAlign w:val="center"/>
          </w:tcPr>
          <w:p>
            <w:pPr>
              <w:adjustRightInd w:val="0"/>
              <w:snapToGrid w:val="0"/>
              <w:spacing w:line="360" w:lineRule="auto"/>
              <w:jc w:val="center"/>
              <w:rPr>
                <w:rFonts w:hint="eastAsia" w:ascii="宋体" w:hAnsi="宋体"/>
                <w:sz w:val="24"/>
              </w:rPr>
            </w:pPr>
          </w:p>
        </w:tc>
        <w:tc>
          <w:tcPr>
            <w:tcW w:w="1559" w:type="dxa"/>
            <w:noWrap w:val="0"/>
            <w:vAlign w:val="center"/>
          </w:tcPr>
          <w:p>
            <w:pPr>
              <w:adjustRightInd w:val="0"/>
              <w:snapToGrid w:val="0"/>
              <w:spacing w:line="360" w:lineRule="auto"/>
              <w:jc w:val="center"/>
              <w:rPr>
                <w:rFonts w:hint="eastAsia" w:ascii="宋体" w:hAnsi="宋体"/>
                <w:sz w:val="24"/>
              </w:rPr>
            </w:pPr>
          </w:p>
        </w:tc>
        <w:tc>
          <w:tcPr>
            <w:tcW w:w="1418" w:type="dxa"/>
            <w:noWrap w:val="0"/>
            <w:vAlign w:val="center"/>
          </w:tcPr>
          <w:p>
            <w:pPr>
              <w:adjustRightInd w:val="0"/>
              <w:snapToGrid w:val="0"/>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702" w:type="dxa"/>
            <w:noWrap w:val="0"/>
            <w:vAlign w:val="center"/>
          </w:tcPr>
          <w:p>
            <w:pPr>
              <w:adjustRightInd w:val="0"/>
              <w:snapToGrid w:val="0"/>
              <w:spacing w:line="360" w:lineRule="auto"/>
              <w:jc w:val="center"/>
              <w:rPr>
                <w:rFonts w:hint="eastAsia" w:ascii="宋体" w:hAnsi="宋体"/>
                <w:sz w:val="24"/>
              </w:rPr>
            </w:pPr>
          </w:p>
        </w:tc>
        <w:tc>
          <w:tcPr>
            <w:tcW w:w="1276" w:type="dxa"/>
            <w:noWrap w:val="0"/>
            <w:vAlign w:val="center"/>
          </w:tcPr>
          <w:p>
            <w:pPr>
              <w:adjustRightInd w:val="0"/>
              <w:snapToGrid w:val="0"/>
              <w:spacing w:line="360" w:lineRule="auto"/>
              <w:jc w:val="center"/>
              <w:rPr>
                <w:rFonts w:hint="eastAsia" w:ascii="宋体" w:hAnsi="宋体"/>
                <w:sz w:val="24"/>
              </w:rPr>
            </w:pPr>
          </w:p>
        </w:tc>
        <w:tc>
          <w:tcPr>
            <w:tcW w:w="850" w:type="dxa"/>
            <w:noWrap w:val="0"/>
            <w:vAlign w:val="center"/>
          </w:tcPr>
          <w:p>
            <w:pPr>
              <w:adjustRightInd w:val="0"/>
              <w:snapToGrid w:val="0"/>
              <w:spacing w:line="360" w:lineRule="auto"/>
              <w:jc w:val="center"/>
              <w:rPr>
                <w:rFonts w:hint="eastAsia" w:ascii="宋体" w:hAnsi="宋体"/>
                <w:sz w:val="24"/>
              </w:rPr>
            </w:pPr>
          </w:p>
        </w:tc>
        <w:tc>
          <w:tcPr>
            <w:tcW w:w="548" w:type="dxa"/>
            <w:noWrap w:val="0"/>
            <w:vAlign w:val="center"/>
          </w:tcPr>
          <w:p>
            <w:pPr>
              <w:adjustRightInd w:val="0"/>
              <w:snapToGrid w:val="0"/>
              <w:spacing w:line="360" w:lineRule="auto"/>
              <w:jc w:val="center"/>
              <w:rPr>
                <w:rFonts w:hint="eastAsia" w:ascii="宋体" w:hAnsi="宋体"/>
                <w:sz w:val="24"/>
              </w:rPr>
            </w:pPr>
          </w:p>
        </w:tc>
        <w:tc>
          <w:tcPr>
            <w:tcW w:w="1155" w:type="dxa"/>
            <w:noWrap w:val="0"/>
            <w:vAlign w:val="center"/>
          </w:tcPr>
          <w:p>
            <w:pPr>
              <w:adjustRightInd w:val="0"/>
              <w:snapToGrid w:val="0"/>
              <w:spacing w:line="360" w:lineRule="auto"/>
              <w:jc w:val="center"/>
              <w:rPr>
                <w:rFonts w:hint="eastAsia" w:ascii="宋体" w:hAnsi="宋体"/>
                <w:sz w:val="24"/>
              </w:rPr>
            </w:pPr>
          </w:p>
        </w:tc>
        <w:tc>
          <w:tcPr>
            <w:tcW w:w="1416" w:type="dxa"/>
            <w:noWrap w:val="0"/>
            <w:vAlign w:val="center"/>
          </w:tcPr>
          <w:p>
            <w:pPr>
              <w:adjustRightInd w:val="0"/>
              <w:snapToGrid w:val="0"/>
              <w:spacing w:line="360" w:lineRule="auto"/>
              <w:jc w:val="center"/>
              <w:rPr>
                <w:rFonts w:hint="eastAsia" w:ascii="宋体" w:hAnsi="宋体"/>
                <w:sz w:val="24"/>
              </w:rPr>
            </w:pPr>
          </w:p>
        </w:tc>
        <w:tc>
          <w:tcPr>
            <w:tcW w:w="1559" w:type="dxa"/>
            <w:noWrap w:val="0"/>
            <w:vAlign w:val="center"/>
          </w:tcPr>
          <w:p>
            <w:pPr>
              <w:adjustRightInd w:val="0"/>
              <w:snapToGrid w:val="0"/>
              <w:spacing w:line="360" w:lineRule="auto"/>
              <w:jc w:val="center"/>
              <w:rPr>
                <w:rFonts w:hint="eastAsia" w:ascii="宋体" w:hAnsi="宋体"/>
                <w:sz w:val="24"/>
              </w:rPr>
            </w:pPr>
          </w:p>
        </w:tc>
        <w:tc>
          <w:tcPr>
            <w:tcW w:w="1418" w:type="dxa"/>
            <w:noWrap w:val="0"/>
            <w:vAlign w:val="center"/>
          </w:tcPr>
          <w:p>
            <w:pPr>
              <w:adjustRightInd w:val="0"/>
              <w:snapToGrid w:val="0"/>
              <w:spacing w:line="360" w:lineRule="auto"/>
              <w:jc w:val="center"/>
              <w:rPr>
                <w:rFonts w:hint="eastAsia" w:ascii="宋体" w:hAnsi="宋体"/>
                <w:sz w:val="24"/>
              </w:rPr>
            </w:pPr>
          </w:p>
        </w:tc>
      </w:tr>
    </w:tbl>
    <w:p>
      <w:pPr>
        <w:adjustRightInd w:val="0"/>
        <w:snapToGrid w:val="0"/>
        <w:spacing w:line="360" w:lineRule="auto"/>
        <w:jc w:val="center"/>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注：1、投标报价含13%增值税专用发票；</w:t>
      </w:r>
    </w:p>
    <w:p>
      <w:pPr>
        <w:adjustRightInd w:val="0"/>
        <w:snapToGrid w:val="0"/>
        <w:spacing w:line="360" w:lineRule="auto"/>
        <w:rPr>
          <w:rFonts w:hint="eastAsia" w:ascii="宋体" w:hAnsi="宋体"/>
          <w:sz w:val="24"/>
        </w:rPr>
      </w:pPr>
      <w:r>
        <w:rPr>
          <w:rFonts w:hint="eastAsia" w:ascii="宋体" w:hAnsi="宋体"/>
          <w:sz w:val="24"/>
        </w:rPr>
        <w:t>2、交货地点：施工现场（招标人指定地点）；</w:t>
      </w: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 xml:space="preserve">投标人 </w:t>
      </w:r>
      <w:r>
        <w:rPr>
          <w:rFonts w:hint="eastAsia" w:ascii="宋体" w:hAnsi="宋体"/>
          <w:sz w:val="24"/>
          <w:lang w:eastAsia="zh-CN"/>
        </w:rPr>
        <w:t>（</w:t>
      </w:r>
      <w:r>
        <w:rPr>
          <w:rFonts w:hint="eastAsia" w:ascii="宋体" w:hAnsi="宋体"/>
          <w:sz w:val="24"/>
        </w:rPr>
        <w:t>盖章) ：</w:t>
      </w: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w:t>
      </w:r>
      <w:r>
        <w:rPr>
          <w:rFonts w:hint="eastAsia" w:ascii="宋体" w:hAnsi="宋体"/>
          <w:sz w:val="24"/>
          <w:lang w:eastAsia="zh-CN"/>
        </w:rPr>
        <w:t>（</w:t>
      </w:r>
      <w:r>
        <w:rPr>
          <w:rFonts w:hint="eastAsia" w:ascii="宋体" w:hAnsi="宋体"/>
          <w:sz w:val="24"/>
        </w:rPr>
        <w:t>或委托代理人)签字：</w:t>
      </w: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pPr>
        <w:adjustRightInd w:val="0"/>
        <w:snapToGrid w:val="0"/>
        <w:spacing w:line="360" w:lineRule="auto"/>
        <w:ind w:right="26"/>
        <w:rPr>
          <w:rFonts w:hint="eastAsia" w:ascii="宋体" w:hAnsi="宋体"/>
          <w:sz w:val="24"/>
        </w:rPr>
      </w:pPr>
    </w:p>
    <w:p>
      <w:pPr>
        <w:adjustRightInd w:val="0"/>
        <w:snapToGrid w:val="0"/>
        <w:spacing w:line="360" w:lineRule="auto"/>
        <w:ind w:right="26"/>
        <w:rPr>
          <w:rFonts w:hint="eastAsia" w:ascii="宋体" w:hAnsi="宋体"/>
          <w:b/>
          <w:sz w:val="24"/>
        </w:rPr>
      </w:pPr>
      <w:r>
        <w:rPr>
          <w:rFonts w:hint="eastAsia" w:ascii="宋体" w:hAnsi="宋体"/>
          <w:b/>
          <w:sz w:val="24"/>
        </w:rPr>
        <w:t>联系人：XXX</w:t>
      </w:r>
    </w:p>
    <w:p>
      <w:pPr>
        <w:adjustRightInd w:val="0"/>
        <w:snapToGrid w:val="0"/>
        <w:spacing w:line="360" w:lineRule="auto"/>
        <w:ind w:right="26"/>
        <w:rPr>
          <w:rFonts w:hint="eastAsia" w:ascii="宋体" w:hAnsi="宋体"/>
          <w:b/>
          <w:sz w:val="24"/>
        </w:rPr>
      </w:pPr>
      <w:r>
        <w:rPr>
          <w:rFonts w:hint="eastAsia" w:ascii="宋体" w:hAnsi="宋体"/>
          <w:b/>
          <w:sz w:val="24"/>
        </w:rPr>
        <w:t>联系电话：XXX</w:t>
      </w:r>
    </w:p>
    <w:p>
      <w:pPr>
        <w:adjustRightInd w:val="0"/>
        <w:snapToGrid w:val="0"/>
        <w:spacing w:line="360" w:lineRule="auto"/>
        <w:ind w:right="26"/>
        <w:jc w:val="center"/>
        <w:rPr>
          <w:rFonts w:hint="eastAsia" w:ascii="宋体" w:hAnsi="宋体" w:cs="Arial"/>
          <w:kern w:val="0"/>
          <w:sz w:val="24"/>
          <w:u w:val="single"/>
        </w:rPr>
      </w:pPr>
    </w:p>
    <w:p>
      <w:pPr>
        <w:spacing w:line="360" w:lineRule="auto"/>
        <w:jc w:val="center"/>
        <w:outlineLvl w:val="0"/>
        <w:rPr>
          <w:rFonts w:hint="eastAsia" w:ascii="宋体" w:hAnsi="宋体" w:cs="Arial"/>
          <w:b/>
          <w:kern w:val="0"/>
          <w:sz w:val="32"/>
          <w:szCs w:val="32"/>
        </w:rPr>
      </w:pPr>
      <w:bookmarkStart w:id="47" w:name="_Toc243928860"/>
      <w:bookmarkStart w:id="48" w:name="_Toc228002635"/>
      <w:r>
        <w:rPr>
          <w:rFonts w:hint="eastAsia" w:ascii="宋体" w:hAnsi="宋体" w:cs="Arial"/>
          <w:b/>
          <w:kern w:val="0"/>
          <w:sz w:val="32"/>
          <w:szCs w:val="32"/>
        </w:rPr>
        <w:t>法定代表人授权书</w:t>
      </w:r>
      <w:bookmarkEnd w:id="47"/>
      <w:bookmarkEnd w:id="48"/>
    </w:p>
    <w:p>
      <w:pPr>
        <w:spacing w:before="240" w:beforeLines="100" w:after="240"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                      ______________________________________________（姓名、身份证号）为我单位的全权代表，全权委托他签署“浙江省隧道工程集团有限公司XXXXXXX”项目</w:t>
      </w:r>
      <w:r>
        <w:rPr>
          <w:rFonts w:hint="eastAsia" w:ascii="宋体" w:hAnsi="宋体"/>
          <w:sz w:val="24"/>
          <w:lang w:val="en-US" w:eastAsia="zh-CN"/>
        </w:rPr>
        <w:t>XXXX材料采购</w:t>
      </w:r>
      <w:r>
        <w:rPr>
          <w:rFonts w:hint="eastAsia" w:ascii="宋体" w:hAnsi="宋体"/>
          <w:sz w:val="24"/>
        </w:rPr>
        <w:t>的投标书及其他书面文件，负责参加开标、询标、商签合同及处理与此有关的其他事务，我单位均予承认。</w:t>
      </w:r>
    </w:p>
    <w:p>
      <w:pPr>
        <w:spacing w:line="360" w:lineRule="auto"/>
        <w:rPr>
          <w:rFonts w:hint="eastAsia" w:ascii="宋体" w:hAnsi="宋体"/>
          <w:sz w:val="24"/>
        </w:rPr>
      </w:pPr>
    </w:p>
    <w:p>
      <w:pPr>
        <w:spacing w:line="360" w:lineRule="auto"/>
        <w:ind w:firstLine="480" w:firstLineChars="200"/>
        <w:rPr>
          <w:rFonts w:hint="eastAsia" w:ascii="宋体" w:hAnsi="宋体"/>
          <w:sz w:val="24"/>
        </w:rPr>
      </w:pPr>
    </w:p>
    <w:p>
      <w:pPr>
        <w:spacing w:line="360" w:lineRule="auto"/>
        <w:ind w:right="-246" w:rightChars="-117" w:firstLine="2760" w:firstLineChars="1150"/>
        <w:rPr>
          <w:rFonts w:hint="eastAsia" w:ascii="宋体" w:hAnsi="宋体"/>
          <w:sz w:val="24"/>
          <w:u w:val="single"/>
        </w:rPr>
      </w:pPr>
      <w:r>
        <w:rPr>
          <w:rFonts w:hint="eastAsia" w:ascii="宋体" w:hAnsi="宋体"/>
          <w:sz w:val="24"/>
        </w:rPr>
        <w:t>投标人</w:t>
      </w:r>
      <w:r>
        <w:rPr>
          <w:rFonts w:hint="eastAsia" w:ascii="宋体" w:hAnsi="宋体"/>
          <w:sz w:val="24"/>
          <w:lang w:eastAsia="zh-CN"/>
        </w:rPr>
        <w:t>（</w:t>
      </w:r>
      <w:r>
        <w:rPr>
          <w:rFonts w:hint="eastAsia" w:ascii="宋体" w:hAnsi="宋体"/>
          <w:sz w:val="24"/>
        </w:rPr>
        <w:t>盖章)：</w:t>
      </w:r>
      <w:r>
        <w:rPr>
          <w:rFonts w:hint="eastAsia" w:ascii="宋体" w:hAnsi="宋体"/>
          <w:sz w:val="24"/>
          <w:u w:val="single"/>
        </w:rPr>
        <w:t xml:space="preserve">                       </w:t>
      </w:r>
    </w:p>
    <w:p>
      <w:pPr>
        <w:spacing w:line="360" w:lineRule="auto"/>
        <w:ind w:right="-246" w:rightChars="-117" w:firstLine="2760" w:firstLineChars="115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524" w:firstLineChars="1885"/>
        <w:rPr>
          <w:rFonts w:hint="eastAsia" w:ascii="宋体" w:hAnsi="宋体"/>
          <w:sz w:val="24"/>
        </w:rPr>
      </w:pPr>
    </w:p>
    <w:p>
      <w:pPr>
        <w:spacing w:line="360" w:lineRule="auto"/>
        <w:outlineLvl w:val="0"/>
        <w:rPr>
          <w:rFonts w:hint="eastAsia" w:ascii="宋体" w:hAnsi="宋体" w:cs="Arial"/>
          <w:b/>
          <w:kern w:val="0"/>
          <w:sz w:val="32"/>
          <w:szCs w:val="32"/>
        </w:rPr>
      </w:pPr>
      <w:r>
        <w:rPr>
          <w:rFonts w:ascii="宋体" w:hAnsi="宋体"/>
          <w:sz w:val="28"/>
          <w:szCs w:val="28"/>
        </w:rPr>
        <w:br w:type="page"/>
      </w:r>
    </w:p>
    <w:p>
      <w:pPr>
        <w:spacing w:line="360" w:lineRule="auto"/>
        <w:jc w:val="center"/>
        <w:outlineLvl w:val="0"/>
        <w:rPr>
          <w:rFonts w:hint="eastAsia" w:ascii="宋体" w:hAnsi="宋体" w:cs="Arial"/>
          <w:b/>
          <w:kern w:val="0"/>
          <w:sz w:val="32"/>
          <w:szCs w:val="32"/>
        </w:rPr>
      </w:pPr>
      <w:bookmarkStart w:id="49" w:name="_Toc243928864"/>
      <w:bookmarkStart w:id="50" w:name="_Toc163643545"/>
      <w:r>
        <w:rPr>
          <w:rFonts w:hint="eastAsia" w:ascii="宋体" w:hAnsi="宋体" w:cs="Arial"/>
          <w:b/>
          <w:kern w:val="0"/>
          <w:sz w:val="32"/>
          <w:szCs w:val="32"/>
        </w:rPr>
        <w:t>单位基本情况表</w:t>
      </w:r>
      <w:bookmarkEnd w:id="49"/>
      <w:bookmarkEnd w:id="50"/>
    </w:p>
    <w:tbl>
      <w:tblPr>
        <w:tblStyle w:val="8"/>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2" w:type="dxa"/>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单位名称</w:t>
            </w:r>
          </w:p>
        </w:tc>
        <w:tc>
          <w:tcPr>
            <w:tcW w:w="1968" w:type="dxa"/>
            <w:noWrap w:val="0"/>
            <w:tcMar>
              <w:left w:w="28" w:type="dxa"/>
              <w:right w:w="28" w:type="dxa"/>
            </w:tcMar>
            <w:vAlign w:val="center"/>
          </w:tcPr>
          <w:p>
            <w:pPr>
              <w:adjustRightInd w:val="0"/>
              <w:snapToGrid w:val="0"/>
              <w:jc w:val="center"/>
              <w:rPr>
                <w:rFonts w:hint="eastAsia" w:ascii="宋体" w:hAnsi="宋体"/>
                <w:szCs w:val="21"/>
              </w:rPr>
            </w:pPr>
          </w:p>
        </w:tc>
        <w:tc>
          <w:tcPr>
            <w:tcW w:w="1088" w:type="dxa"/>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单位地址</w:t>
            </w:r>
          </w:p>
        </w:tc>
        <w:tc>
          <w:tcPr>
            <w:tcW w:w="1802" w:type="dxa"/>
            <w:tcBorders>
              <w:top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p>
        </w:tc>
        <w:tc>
          <w:tcPr>
            <w:tcW w:w="1440" w:type="dxa"/>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成立时间</w:t>
            </w:r>
          </w:p>
        </w:tc>
        <w:tc>
          <w:tcPr>
            <w:tcW w:w="1450" w:type="dxa"/>
            <w:noWrap w:val="0"/>
            <w:tcMar>
              <w:left w:w="28" w:type="dxa"/>
              <w:right w:w="28" w:type="dxa"/>
            </w:tcMar>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2" w:type="dxa"/>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注册资本</w:t>
            </w:r>
          </w:p>
        </w:tc>
        <w:tc>
          <w:tcPr>
            <w:tcW w:w="1968" w:type="dxa"/>
            <w:noWrap w:val="0"/>
            <w:tcMar>
              <w:left w:w="28" w:type="dxa"/>
              <w:right w:w="28" w:type="dxa"/>
            </w:tcMar>
            <w:vAlign w:val="center"/>
          </w:tcPr>
          <w:p>
            <w:pPr>
              <w:adjustRightInd w:val="0"/>
              <w:snapToGrid w:val="0"/>
              <w:jc w:val="center"/>
              <w:rPr>
                <w:rFonts w:hint="eastAsia" w:ascii="宋体" w:hAnsi="宋体"/>
                <w:szCs w:val="21"/>
              </w:rPr>
            </w:pPr>
          </w:p>
        </w:tc>
        <w:tc>
          <w:tcPr>
            <w:tcW w:w="1088" w:type="dxa"/>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固定资产</w:t>
            </w:r>
          </w:p>
        </w:tc>
        <w:tc>
          <w:tcPr>
            <w:tcW w:w="1802" w:type="dxa"/>
            <w:tcBorders>
              <w:top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p>
        </w:tc>
        <w:tc>
          <w:tcPr>
            <w:tcW w:w="1440" w:type="dxa"/>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办公用房规模</w:t>
            </w:r>
            <w:r>
              <w:rPr>
                <w:rFonts w:hint="eastAsia" w:ascii="宋体" w:hAnsi="宋体"/>
                <w:szCs w:val="21"/>
                <w:lang w:eastAsia="zh-CN"/>
              </w:rPr>
              <w:t>(</w:t>
            </w:r>
            <w:r>
              <w:rPr>
                <w:rFonts w:hint="eastAsia" w:ascii="宋体" w:hAnsi="宋体"/>
                <w:sz w:val="18"/>
                <w:szCs w:val="18"/>
              </w:rPr>
              <w:t>注明自有、租用)</w:t>
            </w:r>
          </w:p>
        </w:tc>
        <w:tc>
          <w:tcPr>
            <w:tcW w:w="1450" w:type="dxa"/>
            <w:noWrap w:val="0"/>
            <w:tcMar>
              <w:left w:w="28" w:type="dxa"/>
              <w:right w:w="28" w:type="dxa"/>
            </w:tcMar>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trPr>
        <w:tc>
          <w:tcPr>
            <w:tcW w:w="3040" w:type="dxa"/>
            <w:gridSpan w:val="2"/>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单位基本情况</w:t>
            </w:r>
          </w:p>
        </w:tc>
        <w:tc>
          <w:tcPr>
            <w:tcW w:w="5780" w:type="dxa"/>
            <w:gridSpan w:val="4"/>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040" w:type="dxa"/>
            <w:gridSpan w:val="2"/>
            <w:vMerge w:val="restart"/>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b/>
                <w:sz w:val="24"/>
                <w:lang w:val="en-US" w:eastAsia="zh-CN"/>
              </w:rPr>
              <w:t>2021</w:t>
            </w:r>
            <w:r>
              <w:rPr>
                <w:rFonts w:hint="eastAsia" w:ascii="宋体" w:hAnsi="宋体"/>
                <w:b/>
                <w:sz w:val="24"/>
              </w:rPr>
              <w:t>-</w:t>
            </w:r>
            <w:r>
              <w:rPr>
                <w:rFonts w:hint="eastAsia" w:ascii="宋体" w:hAnsi="宋体"/>
                <w:b/>
                <w:sz w:val="24"/>
                <w:lang w:val="en-US" w:eastAsia="zh-CN"/>
              </w:rPr>
              <w:t>2023</w:t>
            </w:r>
            <w:r>
              <w:rPr>
                <w:rFonts w:hint="eastAsia" w:ascii="宋体" w:hAnsi="宋体"/>
                <w:b/>
                <w:sz w:val="24"/>
              </w:rPr>
              <w:t>年业务收入</w:t>
            </w: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年度</w:t>
            </w: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业务收入</w:t>
            </w:r>
            <w:r>
              <w:rPr>
                <w:rFonts w:hint="eastAsia" w:ascii="宋体" w:hAnsi="宋体"/>
                <w:szCs w:val="21"/>
                <w:lang w:eastAsia="zh-CN"/>
              </w:rPr>
              <w:t>（</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rPr>
            </w:pP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30" w:type="dxa"/>
            <w:gridSpan w:val="4"/>
            <w:noWrap w:val="0"/>
            <w:tcMar>
              <w:left w:w="28" w:type="dxa"/>
              <w:right w:w="28" w:type="dxa"/>
            </w:tcMar>
            <w:vAlign w:val="center"/>
          </w:tcPr>
          <w:p>
            <w:pPr>
              <w:adjustRightInd w:val="0"/>
              <w:snapToGrid w:val="0"/>
              <w:jc w:val="center"/>
              <w:rPr>
                <w:rFonts w:hint="eastAsia" w:ascii="宋体" w:hAnsi="宋体"/>
                <w:szCs w:val="21"/>
              </w:rPr>
            </w:pPr>
            <w:r>
              <w:rPr>
                <w:rFonts w:hint="eastAsia" w:ascii="宋体" w:hAnsi="宋体"/>
                <w:szCs w:val="21"/>
              </w:rPr>
              <w:t>合计</w:t>
            </w: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rPr>
            </w:pPr>
          </w:p>
        </w:tc>
      </w:tr>
    </w:tbl>
    <w:p>
      <w:pPr>
        <w:snapToGrid w:val="0"/>
        <w:ind w:left="898" w:leftChars="300" w:hanging="268" w:hangingChars="128"/>
        <w:rPr>
          <w:rFonts w:hint="eastAsia" w:ascii="宋体" w:hAnsi="宋体"/>
          <w:szCs w:val="21"/>
        </w:rPr>
      </w:pPr>
    </w:p>
    <w:p>
      <w:pPr>
        <w:snapToGrid w:val="0"/>
        <w:ind w:left="898" w:leftChars="300" w:hanging="268" w:hangingChars="128"/>
        <w:rPr>
          <w:rFonts w:hint="eastAsia" w:ascii="宋体" w:hAnsi="宋体"/>
          <w:szCs w:val="21"/>
        </w:rPr>
      </w:pPr>
      <w:r>
        <w:rPr>
          <w:rFonts w:hint="eastAsia" w:ascii="宋体" w:hAnsi="宋体"/>
          <w:szCs w:val="21"/>
          <w:lang w:eastAsia="zh-CN"/>
        </w:rPr>
        <w:t>注：投标人近三年的收入情况。</w:t>
      </w:r>
      <w:r>
        <w:rPr>
          <w:rFonts w:ascii="宋体" w:hAnsi="宋体"/>
          <w:szCs w:val="21"/>
        </w:rPr>
        <w:br w:type="page"/>
      </w:r>
    </w:p>
    <w:p>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投标人业绩表</w:t>
      </w:r>
    </w:p>
    <w:p>
      <w:pPr>
        <w:spacing w:line="360" w:lineRule="auto"/>
        <w:jc w:val="center"/>
        <w:outlineLvl w:val="0"/>
        <w:rPr>
          <w:rFonts w:hint="eastAsia" w:ascii="宋体" w:hAnsi="宋体" w:cs="Arial"/>
          <w:b/>
          <w:kern w:val="0"/>
          <w:sz w:val="32"/>
          <w:szCs w:val="32"/>
        </w:rPr>
      </w:pPr>
    </w:p>
    <w:tbl>
      <w:tblPr>
        <w:tblStyle w:val="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rPr>
            </w:pPr>
            <w:r>
              <w:rPr>
                <w:rFonts w:hint="eastAsia" w:ascii="宋体" w:hAnsi="宋体"/>
                <w:szCs w:val="21"/>
              </w:rPr>
              <w:t>序号</w:t>
            </w:r>
          </w:p>
        </w:tc>
        <w:tc>
          <w:tcPr>
            <w:tcW w:w="2430" w:type="dxa"/>
            <w:noWrap w:val="0"/>
            <w:tcMar>
              <w:left w:w="0" w:type="dxa"/>
              <w:right w:w="0" w:type="dxa"/>
            </w:tcMar>
            <w:vAlign w:val="center"/>
          </w:tcPr>
          <w:p>
            <w:pPr>
              <w:adjustRightInd w:val="0"/>
              <w:snapToGrid w:val="0"/>
              <w:jc w:val="center"/>
              <w:rPr>
                <w:rFonts w:hint="eastAsia" w:ascii="宋体" w:hAnsi="宋体"/>
                <w:szCs w:val="21"/>
              </w:rPr>
            </w:pPr>
            <w:r>
              <w:rPr>
                <w:rFonts w:hint="eastAsia" w:ascii="宋体" w:hAnsi="宋体"/>
                <w:szCs w:val="21"/>
              </w:rPr>
              <w:t>项目名称</w:t>
            </w:r>
          </w:p>
        </w:tc>
        <w:tc>
          <w:tcPr>
            <w:tcW w:w="1301" w:type="dxa"/>
            <w:noWrap w:val="0"/>
            <w:tcMar>
              <w:left w:w="0" w:type="dxa"/>
              <w:right w:w="0" w:type="dxa"/>
            </w:tcMar>
            <w:vAlign w:val="center"/>
          </w:tcPr>
          <w:p>
            <w:pPr>
              <w:adjustRightInd w:val="0"/>
              <w:snapToGrid w:val="0"/>
              <w:jc w:val="center"/>
              <w:rPr>
                <w:rFonts w:hint="eastAsia" w:ascii="宋体" w:hAnsi="宋体"/>
                <w:szCs w:val="21"/>
              </w:rPr>
            </w:pPr>
            <w:r>
              <w:rPr>
                <w:rFonts w:hint="eastAsia" w:ascii="宋体" w:hAnsi="宋体"/>
                <w:szCs w:val="21"/>
              </w:rPr>
              <w:t>委托人</w:t>
            </w:r>
          </w:p>
        </w:tc>
        <w:tc>
          <w:tcPr>
            <w:tcW w:w="1297" w:type="dxa"/>
            <w:noWrap w:val="0"/>
            <w:tcMar>
              <w:left w:w="0" w:type="dxa"/>
              <w:right w:w="0" w:type="dxa"/>
            </w:tcMar>
            <w:vAlign w:val="center"/>
          </w:tcPr>
          <w:p>
            <w:pPr>
              <w:adjustRightInd w:val="0"/>
              <w:snapToGrid w:val="0"/>
              <w:jc w:val="center"/>
              <w:rPr>
                <w:rFonts w:hint="eastAsia" w:ascii="宋体" w:hAnsi="宋体"/>
                <w:szCs w:val="21"/>
              </w:rPr>
            </w:pPr>
            <w:r>
              <w:rPr>
                <w:rFonts w:hint="eastAsia" w:ascii="宋体" w:hAnsi="宋体"/>
                <w:szCs w:val="21"/>
              </w:rPr>
              <w:t>委托人</w:t>
            </w:r>
          </w:p>
          <w:p>
            <w:pPr>
              <w:adjustRightInd w:val="0"/>
              <w:snapToGrid w:val="0"/>
              <w:jc w:val="center"/>
              <w:rPr>
                <w:rFonts w:hint="eastAsia" w:ascii="宋体" w:hAnsi="宋体"/>
                <w:szCs w:val="21"/>
              </w:rPr>
            </w:pPr>
            <w:r>
              <w:rPr>
                <w:rFonts w:hint="eastAsia" w:ascii="宋体" w:hAnsi="宋体"/>
                <w:szCs w:val="21"/>
              </w:rPr>
              <w:t>联系人</w:t>
            </w:r>
          </w:p>
        </w:tc>
        <w:tc>
          <w:tcPr>
            <w:tcW w:w="1042" w:type="dxa"/>
            <w:noWrap w:val="0"/>
            <w:tcMar>
              <w:left w:w="0" w:type="dxa"/>
              <w:right w:w="0" w:type="dxa"/>
            </w:tcMar>
            <w:vAlign w:val="center"/>
          </w:tcPr>
          <w:p>
            <w:pPr>
              <w:adjustRightInd w:val="0"/>
              <w:snapToGrid w:val="0"/>
              <w:jc w:val="center"/>
              <w:rPr>
                <w:rFonts w:hint="eastAsia" w:ascii="宋体" w:hAnsi="宋体"/>
                <w:szCs w:val="21"/>
              </w:rPr>
            </w:pPr>
            <w:r>
              <w:rPr>
                <w:rFonts w:hint="eastAsia" w:ascii="宋体" w:hAnsi="宋体"/>
                <w:szCs w:val="21"/>
              </w:rPr>
              <w:t>联系电话</w:t>
            </w:r>
          </w:p>
        </w:tc>
        <w:tc>
          <w:tcPr>
            <w:tcW w:w="709" w:type="dxa"/>
            <w:noWrap w:val="0"/>
            <w:vAlign w:val="center"/>
          </w:tcPr>
          <w:p>
            <w:pPr>
              <w:adjustRightInd w:val="0"/>
              <w:snapToGrid w:val="0"/>
              <w:jc w:val="center"/>
              <w:rPr>
                <w:rFonts w:hint="eastAsia" w:ascii="宋体" w:hAnsi="宋体"/>
                <w:szCs w:val="21"/>
              </w:rPr>
            </w:pPr>
            <w:r>
              <w:rPr>
                <w:rFonts w:hint="eastAsia" w:ascii="宋体" w:hAnsi="宋体"/>
                <w:szCs w:val="21"/>
              </w:rPr>
              <w:t>委托时间</w:t>
            </w:r>
          </w:p>
        </w:tc>
        <w:tc>
          <w:tcPr>
            <w:tcW w:w="1417" w:type="dxa"/>
            <w:noWrap w:val="0"/>
            <w:tcMar>
              <w:left w:w="0" w:type="dxa"/>
              <w:right w:w="0" w:type="dxa"/>
            </w:tcMar>
            <w:vAlign w:val="center"/>
          </w:tcPr>
          <w:p>
            <w:pPr>
              <w:adjustRightInd w:val="0"/>
              <w:snapToGrid w:val="0"/>
              <w:jc w:val="center"/>
              <w:rPr>
                <w:rFonts w:hint="eastAsia" w:ascii="宋体" w:hAnsi="宋体"/>
                <w:szCs w:val="21"/>
              </w:rPr>
            </w:pPr>
            <w:r>
              <w:rPr>
                <w:rFonts w:hint="eastAsia" w:ascii="宋体" w:hAnsi="宋体"/>
                <w:szCs w:val="21"/>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rPr>
            </w:pPr>
          </w:p>
        </w:tc>
        <w:tc>
          <w:tcPr>
            <w:tcW w:w="2430" w:type="dxa"/>
            <w:noWrap w:val="0"/>
            <w:tcMar>
              <w:left w:w="0" w:type="dxa"/>
              <w:right w:w="0" w:type="dxa"/>
            </w:tcMar>
            <w:vAlign w:val="center"/>
          </w:tcPr>
          <w:p>
            <w:pPr>
              <w:adjustRightInd w:val="0"/>
              <w:snapToGrid w:val="0"/>
              <w:rPr>
                <w:rFonts w:hint="eastAsia" w:ascii="宋体" w:hAnsi="宋体"/>
                <w:szCs w:val="21"/>
              </w:rPr>
            </w:pPr>
          </w:p>
        </w:tc>
        <w:tc>
          <w:tcPr>
            <w:tcW w:w="1301" w:type="dxa"/>
            <w:noWrap w:val="0"/>
            <w:tcMar>
              <w:left w:w="0" w:type="dxa"/>
              <w:right w:w="0" w:type="dxa"/>
            </w:tcMar>
            <w:vAlign w:val="center"/>
          </w:tcPr>
          <w:p>
            <w:pPr>
              <w:adjustRightInd w:val="0"/>
              <w:snapToGrid w:val="0"/>
              <w:rPr>
                <w:rFonts w:hint="eastAsia" w:ascii="宋体" w:hAnsi="宋体"/>
                <w:szCs w:val="21"/>
              </w:rPr>
            </w:pPr>
          </w:p>
        </w:tc>
        <w:tc>
          <w:tcPr>
            <w:tcW w:w="1297" w:type="dxa"/>
            <w:noWrap w:val="0"/>
            <w:tcMar>
              <w:left w:w="0" w:type="dxa"/>
              <w:right w:w="0" w:type="dxa"/>
            </w:tcMar>
            <w:vAlign w:val="center"/>
          </w:tcPr>
          <w:p>
            <w:pPr>
              <w:adjustRightInd w:val="0"/>
              <w:snapToGrid w:val="0"/>
              <w:rPr>
                <w:rFonts w:hint="eastAsia" w:ascii="宋体" w:hAnsi="宋体"/>
                <w:szCs w:val="21"/>
              </w:rPr>
            </w:pPr>
          </w:p>
        </w:tc>
        <w:tc>
          <w:tcPr>
            <w:tcW w:w="1042" w:type="dxa"/>
            <w:noWrap w:val="0"/>
            <w:tcMar>
              <w:left w:w="0" w:type="dxa"/>
              <w:right w:w="0" w:type="dxa"/>
            </w:tcMar>
            <w:vAlign w:val="center"/>
          </w:tcPr>
          <w:p>
            <w:pPr>
              <w:adjustRightInd w:val="0"/>
              <w:snapToGrid w:val="0"/>
              <w:rPr>
                <w:rFonts w:hint="eastAsia" w:ascii="宋体" w:hAnsi="宋体"/>
                <w:szCs w:val="21"/>
              </w:rPr>
            </w:pPr>
          </w:p>
        </w:tc>
        <w:tc>
          <w:tcPr>
            <w:tcW w:w="709" w:type="dxa"/>
            <w:noWrap w:val="0"/>
            <w:vAlign w:val="center"/>
          </w:tcPr>
          <w:p>
            <w:pPr>
              <w:adjustRightInd w:val="0"/>
              <w:snapToGrid w:val="0"/>
              <w:jc w:val="center"/>
              <w:rPr>
                <w:rFonts w:hint="eastAsia" w:ascii="宋体" w:hAnsi="宋体"/>
                <w:szCs w:val="21"/>
              </w:rPr>
            </w:pPr>
          </w:p>
        </w:tc>
        <w:tc>
          <w:tcPr>
            <w:tcW w:w="1417" w:type="dxa"/>
            <w:noWrap w:val="0"/>
            <w:tcMar>
              <w:left w:w="0" w:type="dxa"/>
              <w:right w:w="0" w:type="dxa"/>
            </w:tcMar>
            <w:vAlign w:val="center"/>
          </w:tcPr>
          <w:p>
            <w:pPr>
              <w:adjustRightInd w:val="0"/>
              <w:snapToGri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rPr>
            </w:pPr>
          </w:p>
        </w:tc>
        <w:tc>
          <w:tcPr>
            <w:tcW w:w="2430" w:type="dxa"/>
            <w:noWrap w:val="0"/>
            <w:tcMar>
              <w:left w:w="0" w:type="dxa"/>
              <w:right w:w="0" w:type="dxa"/>
            </w:tcMar>
            <w:vAlign w:val="center"/>
          </w:tcPr>
          <w:p>
            <w:pPr>
              <w:adjustRightInd w:val="0"/>
              <w:snapToGrid w:val="0"/>
              <w:rPr>
                <w:rFonts w:hint="eastAsia" w:ascii="宋体" w:hAnsi="宋体"/>
                <w:szCs w:val="21"/>
              </w:rPr>
            </w:pPr>
          </w:p>
        </w:tc>
        <w:tc>
          <w:tcPr>
            <w:tcW w:w="1301" w:type="dxa"/>
            <w:noWrap w:val="0"/>
            <w:tcMar>
              <w:left w:w="0" w:type="dxa"/>
              <w:right w:w="0" w:type="dxa"/>
            </w:tcMar>
            <w:vAlign w:val="center"/>
          </w:tcPr>
          <w:p>
            <w:pPr>
              <w:adjustRightInd w:val="0"/>
              <w:snapToGrid w:val="0"/>
              <w:rPr>
                <w:rFonts w:hint="eastAsia" w:ascii="宋体" w:hAnsi="宋体"/>
                <w:szCs w:val="21"/>
              </w:rPr>
            </w:pPr>
          </w:p>
        </w:tc>
        <w:tc>
          <w:tcPr>
            <w:tcW w:w="1297" w:type="dxa"/>
            <w:noWrap w:val="0"/>
            <w:tcMar>
              <w:left w:w="0" w:type="dxa"/>
              <w:right w:w="0" w:type="dxa"/>
            </w:tcMar>
            <w:vAlign w:val="center"/>
          </w:tcPr>
          <w:p>
            <w:pPr>
              <w:adjustRightInd w:val="0"/>
              <w:snapToGrid w:val="0"/>
              <w:rPr>
                <w:rFonts w:hint="eastAsia" w:ascii="宋体" w:hAnsi="宋体"/>
                <w:szCs w:val="21"/>
              </w:rPr>
            </w:pPr>
          </w:p>
        </w:tc>
        <w:tc>
          <w:tcPr>
            <w:tcW w:w="1042" w:type="dxa"/>
            <w:noWrap w:val="0"/>
            <w:tcMar>
              <w:left w:w="0" w:type="dxa"/>
              <w:right w:w="0" w:type="dxa"/>
            </w:tcMar>
            <w:vAlign w:val="center"/>
          </w:tcPr>
          <w:p>
            <w:pPr>
              <w:adjustRightInd w:val="0"/>
              <w:snapToGrid w:val="0"/>
              <w:rPr>
                <w:rFonts w:hint="eastAsia" w:ascii="宋体" w:hAnsi="宋体"/>
                <w:szCs w:val="21"/>
              </w:rPr>
            </w:pPr>
          </w:p>
        </w:tc>
        <w:tc>
          <w:tcPr>
            <w:tcW w:w="709" w:type="dxa"/>
            <w:noWrap w:val="0"/>
            <w:vAlign w:val="center"/>
          </w:tcPr>
          <w:p>
            <w:pPr>
              <w:adjustRightInd w:val="0"/>
              <w:snapToGrid w:val="0"/>
              <w:jc w:val="center"/>
              <w:rPr>
                <w:rFonts w:hint="eastAsia" w:ascii="宋体" w:hAnsi="宋体"/>
                <w:szCs w:val="21"/>
              </w:rPr>
            </w:pPr>
          </w:p>
        </w:tc>
        <w:tc>
          <w:tcPr>
            <w:tcW w:w="1417" w:type="dxa"/>
            <w:noWrap w:val="0"/>
            <w:tcMar>
              <w:left w:w="0" w:type="dxa"/>
              <w:right w:w="0" w:type="dxa"/>
            </w:tcMar>
            <w:vAlign w:val="center"/>
          </w:tcPr>
          <w:p>
            <w:pPr>
              <w:adjustRightInd w:val="0"/>
              <w:snapToGri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rPr>
            </w:pPr>
          </w:p>
        </w:tc>
        <w:tc>
          <w:tcPr>
            <w:tcW w:w="2430" w:type="dxa"/>
            <w:noWrap w:val="0"/>
            <w:tcMar>
              <w:left w:w="0" w:type="dxa"/>
              <w:right w:w="0" w:type="dxa"/>
            </w:tcMar>
            <w:vAlign w:val="center"/>
          </w:tcPr>
          <w:p>
            <w:pPr>
              <w:adjustRightInd w:val="0"/>
              <w:snapToGrid w:val="0"/>
              <w:rPr>
                <w:rFonts w:hint="eastAsia" w:ascii="宋体" w:hAnsi="宋体"/>
                <w:szCs w:val="21"/>
              </w:rPr>
            </w:pPr>
          </w:p>
        </w:tc>
        <w:tc>
          <w:tcPr>
            <w:tcW w:w="1301" w:type="dxa"/>
            <w:noWrap w:val="0"/>
            <w:tcMar>
              <w:left w:w="0" w:type="dxa"/>
              <w:right w:w="0" w:type="dxa"/>
            </w:tcMar>
            <w:vAlign w:val="center"/>
          </w:tcPr>
          <w:p>
            <w:pPr>
              <w:adjustRightInd w:val="0"/>
              <w:snapToGrid w:val="0"/>
              <w:rPr>
                <w:rFonts w:hint="eastAsia" w:ascii="宋体" w:hAnsi="宋体"/>
                <w:szCs w:val="21"/>
              </w:rPr>
            </w:pPr>
          </w:p>
        </w:tc>
        <w:tc>
          <w:tcPr>
            <w:tcW w:w="1297" w:type="dxa"/>
            <w:noWrap w:val="0"/>
            <w:tcMar>
              <w:left w:w="0" w:type="dxa"/>
              <w:right w:w="0" w:type="dxa"/>
            </w:tcMar>
            <w:vAlign w:val="center"/>
          </w:tcPr>
          <w:p>
            <w:pPr>
              <w:adjustRightInd w:val="0"/>
              <w:snapToGrid w:val="0"/>
              <w:rPr>
                <w:rFonts w:hint="eastAsia" w:ascii="宋体" w:hAnsi="宋体"/>
                <w:szCs w:val="21"/>
              </w:rPr>
            </w:pPr>
          </w:p>
        </w:tc>
        <w:tc>
          <w:tcPr>
            <w:tcW w:w="1042" w:type="dxa"/>
            <w:noWrap w:val="0"/>
            <w:tcMar>
              <w:left w:w="0" w:type="dxa"/>
              <w:right w:w="0" w:type="dxa"/>
            </w:tcMar>
            <w:vAlign w:val="center"/>
          </w:tcPr>
          <w:p>
            <w:pPr>
              <w:adjustRightInd w:val="0"/>
              <w:snapToGrid w:val="0"/>
              <w:rPr>
                <w:rFonts w:hint="eastAsia" w:ascii="宋体" w:hAnsi="宋体"/>
                <w:szCs w:val="21"/>
              </w:rPr>
            </w:pPr>
          </w:p>
        </w:tc>
        <w:tc>
          <w:tcPr>
            <w:tcW w:w="709" w:type="dxa"/>
            <w:noWrap w:val="0"/>
            <w:vAlign w:val="center"/>
          </w:tcPr>
          <w:p>
            <w:pPr>
              <w:adjustRightInd w:val="0"/>
              <w:snapToGrid w:val="0"/>
              <w:jc w:val="center"/>
              <w:rPr>
                <w:rFonts w:hint="eastAsia" w:ascii="宋体" w:hAnsi="宋体"/>
                <w:szCs w:val="21"/>
              </w:rPr>
            </w:pPr>
          </w:p>
        </w:tc>
        <w:tc>
          <w:tcPr>
            <w:tcW w:w="1417" w:type="dxa"/>
            <w:noWrap w:val="0"/>
            <w:tcMar>
              <w:left w:w="0" w:type="dxa"/>
              <w:right w:w="0" w:type="dxa"/>
            </w:tcMar>
            <w:vAlign w:val="center"/>
          </w:tcPr>
          <w:p>
            <w:pPr>
              <w:adjustRightInd w:val="0"/>
              <w:snapToGri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rPr>
            </w:pPr>
          </w:p>
        </w:tc>
        <w:tc>
          <w:tcPr>
            <w:tcW w:w="2430" w:type="dxa"/>
            <w:noWrap w:val="0"/>
            <w:tcMar>
              <w:left w:w="0" w:type="dxa"/>
              <w:right w:w="0" w:type="dxa"/>
            </w:tcMar>
            <w:vAlign w:val="center"/>
          </w:tcPr>
          <w:p>
            <w:pPr>
              <w:adjustRightInd w:val="0"/>
              <w:snapToGrid w:val="0"/>
              <w:rPr>
                <w:rFonts w:hint="eastAsia" w:ascii="宋体" w:hAnsi="宋体"/>
                <w:szCs w:val="21"/>
              </w:rPr>
            </w:pPr>
          </w:p>
        </w:tc>
        <w:tc>
          <w:tcPr>
            <w:tcW w:w="1301" w:type="dxa"/>
            <w:noWrap w:val="0"/>
            <w:tcMar>
              <w:left w:w="0" w:type="dxa"/>
              <w:right w:w="0" w:type="dxa"/>
            </w:tcMar>
            <w:vAlign w:val="center"/>
          </w:tcPr>
          <w:p>
            <w:pPr>
              <w:adjustRightInd w:val="0"/>
              <w:snapToGrid w:val="0"/>
              <w:rPr>
                <w:rFonts w:hint="eastAsia" w:ascii="宋体" w:hAnsi="宋体"/>
                <w:szCs w:val="21"/>
              </w:rPr>
            </w:pPr>
          </w:p>
        </w:tc>
        <w:tc>
          <w:tcPr>
            <w:tcW w:w="1297" w:type="dxa"/>
            <w:noWrap w:val="0"/>
            <w:tcMar>
              <w:left w:w="0" w:type="dxa"/>
              <w:right w:w="0" w:type="dxa"/>
            </w:tcMar>
            <w:vAlign w:val="center"/>
          </w:tcPr>
          <w:p>
            <w:pPr>
              <w:adjustRightInd w:val="0"/>
              <w:snapToGrid w:val="0"/>
              <w:rPr>
                <w:rFonts w:hint="eastAsia" w:ascii="宋体" w:hAnsi="宋体"/>
                <w:szCs w:val="21"/>
              </w:rPr>
            </w:pPr>
          </w:p>
        </w:tc>
        <w:tc>
          <w:tcPr>
            <w:tcW w:w="1042" w:type="dxa"/>
            <w:noWrap w:val="0"/>
            <w:tcMar>
              <w:left w:w="0" w:type="dxa"/>
              <w:right w:w="0" w:type="dxa"/>
            </w:tcMar>
            <w:vAlign w:val="center"/>
          </w:tcPr>
          <w:p>
            <w:pPr>
              <w:adjustRightInd w:val="0"/>
              <w:snapToGrid w:val="0"/>
              <w:rPr>
                <w:rFonts w:hint="eastAsia" w:ascii="宋体" w:hAnsi="宋体"/>
                <w:szCs w:val="21"/>
              </w:rPr>
            </w:pPr>
          </w:p>
        </w:tc>
        <w:tc>
          <w:tcPr>
            <w:tcW w:w="709" w:type="dxa"/>
            <w:noWrap w:val="0"/>
            <w:vAlign w:val="center"/>
          </w:tcPr>
          <w:p>
            <w:pPr>
              <w:adjustRightInd w:val="0"/>
              <w:snapToGrid w:val="0"/>
              <w:jc w:val="center"/>
              <w:rPr>
                <w:rFonts w:hint="eastAsia" w:ascii="宋体" w:hAnsi="宋体"/>
                <w:szCs w:val="21"/>
              </w:rPr>
            </w:pPr>
          </w:p>
        </w:tc>
        <w:tc>
          <w:tcPr>
            <w:tcW w:w="1417" w:type="dxa"/>
            <w:noWrap w:val="0"/>
            <w:tcMar>
              <w:left w:w="0" w:type="dxa"/>
              <w:right w:w="0" w:type="dxa"/>
            </w:tcMar>
            <w:vAlign w:val="center"/>
          </w:tcPr>
          <w:p>
            <w:pPr>
              <w:adjustRightInd w:val="0"/>
              <w:snapToGri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rPr>
            </w:pPr>
          </w:p>
        </w:tc>
        <w:tc>
          <w:tcPr>
            <w:tcW w:w="2430" w:type="dxa"/>
            <w:noWrap w:val="0"/>
            <w:tcMar>
              <w:left w:w="0" w:type="dxa"/>
              <w:right w:w="0" w:type="dxa"/>
            </w:tcMar>
            <w:vAlign w:val="center"/>
          </w:tcPr>
          <w:p>
            <w:pPr>
              <w:adjustRightInd w:val="0"/>
              <w:snapToGrid w:val="0"/>
              <w:rPr>
                <w:rFonts w:hint="eastAsia" w:ascii="宋体" w:hAnsi="宋体"/>
                <w:szCs w:val="21"/>
              </w:rPr>
            </w:pPr>
          </w:p>
        </w:tc>
        <w:tc>
          <w:tcPr>
            <w:tcW w:w="1301" w:type="dxa"/>
            <w:noWrap w:val="0"/>
            <w:tcMar>
              <w:left w:w="0" w:type="dxa"/>
              <w:right w:w="0" w:type="dxa"/>
            </w:tcMar>
            <w:vAlign w:val="center"/>
          </w:tcPr>
          <w:p>
            <w:pPr>
              <w:adjustRightInd w:val="0"/>
              <w:snapToGrid w:val="0"/>
              <w:rPr>
                <w:rFonts w:hint="eastAsia" w:ascii="宋体" w:hAnsi="宋体"/>
                <w:szCs w:val="21"/>
              </w:rPr>
            </w:pPr>
          </w:p>
        </w:tc>
        <w:tc>
          <w:tcPr>
            <w:tcW w:w="1297" w:type="dxa"/>
            <w:noWrap w:val="0"/>
            <w:tcMar>
              <w:left w:w="0" w:type="dxa"/>
              <w:right w:w="0" w:type="dxa"/>
            </w:tcMar>
            <w:vAlign w:val="center"/>
          </w:tcPr>
          <w:p>
            <w:pPr>
              <w:adjustRightInd w:val="0"/>
              <w:snapToGrid w:val="0"/>
              <w:rPr>
                <w:rFonts w:hint="eastAsia" w:ascii="宋体" w:hAnsi="宋体"/>
                <w:szCs w:val="21"/>
              </w:rPr>
            </w:pPr>
          </w:p>
        </w:tc>
        <w:tc>
          <w:tcPr>
            <w:tcW w:w="1042" w:type="dxa"/>
            <w:noWrap w:val="0"/>
            <w:tcMar>
              <w:left w:w="0" w:type="dxa"/>
              <w:right w:w="0" w:type="dxa"/>
            </w:tcMar>
            <w:vAlign w:val="center"/>
          </w:tcPr>
          <w:p>
            <w:pPr>
              <w:adjustRightInd w:val="0"/>
              <w:snapToGrid w:val="0"/>
              <w:rPr>
                <w:rFonts w:hint="eastAsia" w:ascii="宋体" w:hAnsi="宋体"/>
                <w:szCs w:val="21"/>
              </w:rPr>
            </w:pPr>
          </w:p>
        </w:tc>
        <w:tc>
          <w:tcPr>
            <w:tcW w:w="709" w:type="dxa"/>
            <w:noWrap w:val="0"/>
            <w:vAlign w:val="center"/>
          </w:tcPr>
          <w:p>
            <w:pPr>
              <w:adjustRightInd w:val="0"/>
              <w:snapToGrid w:val="0"/>
              <w:jc w:val="center"/>
              <w:rPr>
                <w:rFonts w:hint="eastAsia" w:ascii="宋体" w:hAnsi="宋体"/>
                <w:szCs w:val="21"/>
              </w:rPr>
            </w:pPr>
          </w:p>
        </w:tc>
        <w:tc>
          <w:tcPr>
            <w:tcW w:w="1417" w:type="dxa"/>
            <w:noWrap w:val="0"/>
            <w:tcMar>
              <w:left w:w="0" w:type="dxa"/>
              <w:right w:w="0" w:type="dxa"/>
            </w:tcMar>
            <w:vAlign w:val="center"/>
          </w:tcPr>
          <w:p>
            <w:pPr>
              <w:adjustRightInd w:val="0"/>
              <w:snapToGri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rPr>
            </w:pPr>
          </w:p>
        </w:tc>
        <w:tc>
          <w:tcPr>
            <w:tcW w:w="2430" w:type="dxa"/>
            <w:noWrap w:val="0"/>
            <w:tcMar>
              <w:left w:w="0" w:type="dxa"/>
              <w:right w:w="0" w:type="dxa"/>
            </w:tcMar>
            <w:vAlign w:val="center"/>
          </w:tcPr>
          <w:p>
            <w:pPr>
              <w:adjustRightInd w:val="0"/>
              <w:snapToGrid w:val="0"/>
              <w:rPr>
                <w:rFonts w:hint="eastAsia" w:ascii="宋体" w:hAnsi="宋体"/>
                <w:szCs w:val="21"/>
              </w:rPr>
            </w:pPr>
          </w:p>
        </w:tc>
        <w:tc>
          <w:tcPr>
            <w:tcW w:w="1301" w:type="dxa"/>
            <w:noWrap w:val="0"/>
            <w:tcMar>
              <w:left w:w="0" w:type="dxa"/>
              <w:right w:w="0" w:type="dxa"/>
            </w:tcMar>
            <w:vAlign w:val="center"/>
          </w:tcPr>
          <w:p>
            <w:pPr>
              <w:adjustRightInd w:val="0"/>
              <w:snapToGrid w:val="0"/>
              <w:rPr>
                <w:rFonts w:hint="eastAsia" w:ascii="宋体" w:hAnsi="宋体"/>
                <w:szCs w:val="21"/>
              </w:rPr>
            </w:pPr>
          </w:p>
        </w:tc>
        <w:tc>
          <w:tcPr>
            <w:tcW w:w="1297" w:type="dxa"/>
            <w:noWrap w:val="0"/>
            <w:tcMar>
              <w:left w:w="0" w:type="dxa"/>
              <w:right w:w="0" w:type="dxa"/>
            </w:tcMar>
            <w:vAlign w:val="center"/>
          </w:tcPr>
          <w:p>
            <w:pPr>
              <w:adjustRightInd w:val="0"/>
              <w:snapToGrid w:val="0"/>
              <w:rPr>
                <w:rFonts w:hint="eastAsia" w:ascii="宋体" w:hAnsi="宋体"/>
                <w:szCs w:val="21"/>
              </w:rPr>
            </w:pPr>
          </w:p>
        </w:tc>
        <w:tc>
          <w:tcPr>
            <w:tcW w:w="1042" w:type="dxa"/>
            <w:noWrap w:val="0"/>
            <w:tcMar>
              <w:left w:w="0" w:type="dxa"/>
              <w:right w:w="0" w:type="dxa"/>
            </w:tcMar>
            <w:vAlign w:val="center"/>
          </w:tcPr>
          <w:p>
            <w:pPr>
              <w:adjustRightInd w:val="0"/>
              <w:snapToGrid w:val="0"/>
              <w:rPr>
                <w:rFonts w:hint="eastAsia" w:ascii="宋体" w:hAnsi="宋体"/>
                <w:szCs w:val="21"/>
              </w:rPr>
            </w:pPr>
          </w:p>
        </w:tc>
        <w:tc>
          <w:tcPr>
            <w:tcW w:w="709" w:type="dxa"/>
            <w:noWrap w:val="0"/>
            <w:vAlign w:val="center"/>
          </w:tcPr>
          <w:p>
            <w:pPr>
              <w:adjustRightInd w:val="0"/>
              <w:snapToGrid w:val="0"/>
              <w:jc w:val="center"/>
              <w:rPr>
                <w:rFonts w:hint="eastAsia" w:ascii="宋体" w:hAnsi="宋体"/>
                <w:szCs w:val="21"/>
              </w:rPr>
            </w:pPr>
          </w:p>
        </w:tc>
        <w:tc>
          <w:tcPr>
            <w:tcW w:w="1417" w:type="dxa"/>
            <w:noWrap w:val="0"/>
            <w:tcMar>
              <w:left w:w="0" w:type="dxa"/>
              <w:right w:w="0" w:type="dxa"/>
            </w:tcMar>
            <w:vAlign w:val="center"/>
          </w:tcPr>
          <w:p>
            <w:pPr>
              <w:adjustRightInd w:val="0"/>
              <w:snapToGrid w:val="0"/>
              <w:rPr>
                <w:rFonts w:hint="eastAsia" w:ascii="宋体" w:hAnsi="宋体"/>
                <w:szCs w:val="21"/>
              </w:rPr>
            </w:pPr>
          </w:p>
        </w:tc>
      </w:tr>
    </w:tbl>
    <w:p>
      <w:pPr>
        <w:adjustRightInd w:val="0"/>
        <w:snapToGrid w:val="0"/>
        <w:spacing w:before="60" w:beforeLines="25"/>
        <w:ind w:left="-6"/>
        <w:jc w:val="left"/>
        <w:rPr>
          <w:rFonts w:hint="eastAsia" w:ascii="宋体" w:hAnsi="宋体"/>
          <w:szCs w:val="21"/>
        </w:rPr>
      </w:pPr>
    </w:p>
    <w:p>
      <w:pPr>
        <w:spacing w:line="360" w:lineRule="auto"/>
        <w:outlineLvl w:val="0"/>
        <w:rPr>
          <w:rFonts w:hint="eastAsia" w:ascii="宋体" w:hAnsi="宋体" w:cs="Arial"/>
          <w:b/>
          <w:kern w:val="0"/>
          <w:sz w:val="32"/>
          <w:szCs w:val="32"/>
        </w:rPr>
      </w:pPr>
      <w:r>
        <w:rPr>
          <w:rFonts w:hint="eastAsia" w:ascii="宋体" w:hAnsi="宋体"/>
          <w:szCs w:val="21"/>
          <w:lang w:eastAsia="zh-CN"/>
        </w:rPr>
        <w:t>注：投标人近三年的业绩情况。</w:t>
      </w:r>
    </w:p>
    <w:p/>
    <w:sectPr>
      <w:pgSz w:w="11906" w:h="16838"/>
      <w:pgMar w:top="1440" w:right="151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Vrinda">
    <w:altName w:val="苹方-简"/>
    <w:panose1 w:val="020B0502040204020203"/>
    <w:charset w:val="00"/>
    <w:family w:val="swiss"/>
    <w:pitch w:val="default"/>
    <w:sig w:usb0="00000000" w:usb1="0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A494188"/>
    <w:multiLevelType w:val="multilevel"/>
    <w:tmpl w:val="3A494188"/>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M2U0ZGE1OTQ1ZmM5OTA2YjBhM2U4MjA3MjBiMWIifQ=="/>
  </w:docVars>
  <w:rsids>
    <w:rsidRoot w:val="00000000"/>
    <w:rsid w:val="0103164E"/>
    <w:rsid w:val="013637D1"/>
    <w:rsid w:val="0560706F"/>
    <w:rsid w:val="0B016BFE"/>
    <w:rsid w:val="14F67021"/>
    <w:rsid w:val="16252BCA"/>
    <w:rsid w:val="17CA481C"/>
    <w:rsid w:val="187529D9"/>
    <w:rsid w:val="197B401F"/>
    <w:rsid w:val="26013AFE"/>
    <w:rsid w:val="2B7D5FBB"/>
    <w:rsid w:val="2C8C7C99"/>
    <w:rsid w:val="2CEA52EC"/>
    <w:rsid w:val="35AE07AE"/>
    <w:rsid w:val="3E7964D0"/>
    <w:rsid w:val="4345097B"/>
    <w:rsid w:val="4732273D"/>
    <w:rsid w:val="4E402B66"/>
    <w:rsid w:val="52EF4B5B"/>
    <w:rsid w:val="54613836"/>
    <w:rsid w:val="5C803039"/>
    <w:rsid w:val="69E50B0C"/>
    <w:rsid w:val="6AB73D58"/>
    <w:rsid w:val="70BE15F0"/>
    <w:rsid w:val="71816E6E"/>
    <w:rsid w:val="7491561A"/>
    <w:rsid w:val="75DE488F"/>
    <w:rsid w:val="79F44681"/>
    <w:rsid w:val="7EF311BF"/>
    <w:rsid w:val="BDD1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szCs w:val="20"/>
    </w:rPr>
  </w:style>
  <w:style w:type="paragraph" w:styleId="4">
    <w:name w:val="Body Text"/>
    <w:basedOn w:val="1"/>
    <w:qFormat/>
    <w:uiPriority w:val="1"/>
    <w:pPr>
      <w:spacing w:before="7"/>
    </w:pPr>
    <w:rPr>
      <w:rFonts w:ascii="宋体" w:hAnsi="宋体" w:eastAsia="宋体"/>
      <w:sz w:val="30"/>
      <w:szCs w:val="30"/>
    </w:rPr>
  </w:style>
  <w:style w:type="paragraph" w:styleId="5">
    <w:name w:val="Body Text Indent"/>
    <w:basedOn w:val="1"/>
    <w:qFormat/>
    <w:uiPriority w:val="0"/>
    <w:pPr>
      <w:ind w:left="480" w:hanging="480" w:hangingChars="200"/>
    </w:pPr>
    <w:rPr>
      <w:sz w:val="24"/>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qFormat/>
    <w:uiPriority w:val="0"/>
    <w:pPr>
      <w:ind w:left="100" w:leftChars="2500"/>
    </w:pPr>
    <w:rPr>
      <w:szCs w:val="20"/>
    </w:rPr>
  </w:style>
  <w:style w:type="paragraph" w:customStyle="1" w:styleId="10">
    <w:name w:val="正文2"/>
    <w:basedOn w:val="1"/>
    <w:qFormat/>
    <w:uiPriority w:val="0"/>
    <w:pPr>
      <w:spacing w:before="156" w:line="360" w:lineRule="auto"/>
      <w:ind w:firstLine="510" w:firstLineChars="200"/>
    </w:pPr>
    <w:rPr>
      <w:sz w:val="24"/>
      <w:szCs w:val="20"/>
    </w:rPr>
  </w:style>
  <w:style w:type="paragraph" w:customStyle="1" w:styleId="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2023-08-07T23:28:00Z</dcterms:created>
  <dc:creator>win</dc:creator>
  <cp:lastModifiedBy>apple</cp:lastModifiedBy>
  <dcterms:modified xsi:type="dcterms:W3CDTF">2024-01-26T22:24:40Z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970B43360AF44E6097A3E2994A9908CF_13</vt:lpwstr>
  </property>
</Properties>
</file>