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Cs/>
          <w:sz w:val="36"/>
          <w:szCs w:val="36"/>
        </w:rPr>
      </w:pPr>
    </w:p>
    <w:p>
      <w:pPr>
        <w:spacing w:line="360" w:lineRule="auto"/>
        <w:jc w:val="center"/>
        <w:rPr>
          <w:rFonts w:ascii="宋体" w:hAnsi="宋体"/>
          <w:bCs/>
          <w:sz w:val="36"/>
          <w:szCs w:val="36"/>
        </w:rPr>
      </w:pPr>
    </w:p>
    <w:p>
      <w:pPr>
        <w:spacing w:line="360" w:lineRule="auto"/>
        <w:jc w:val="center"/>
        <w:rPr>
          <w:rFonts w:ascii="宋体" w:hAnsi="宋体"/>
          <w:bCs/>
          <w:sz w:val="52"/>
          <w:szCs w:val="52"/>
        </w:rPr>
      </w:pPr>
      <w:r>
        <w:rPr>
          <w:rFonts w:hint="eastAsia" w:ascii="宋体" w:hAnsi="宋体"/>
          <w:bCs/>
          <w:sz w:val="52"/>
          <w:szCs w:val="52"/>
        </w:rPr>
        <w:t>浙江省隧道工程集团有限公司</w:t>
      </w:r>
    </w:p>
    <w:p>
      <w:pPr>
        <w:spacing w:line="360" w:lineRule="auto"/>
        <w:jc w:val="center"/>
        <w:rPr>
          <w:rFonts w:ascii="宋体" w:hAnsi="宋体" w:cs="宋体"/>
          <w:bCs/>
          <w:sz w:val="52"/>
          <w:szCs w:val="52"/>
        </w:rPr>
      </w:pPr>
      <w:r>
        <w:rPr>
          <w:rFonts w:hint="eastAsia" w:ascii="宋体" w:hAnsi="宋体" w:cs="宋体"/>
          <w:bCs/>
          <w:sz w:val="52"/>
          <w:szCs w:val="52"/>
        </w:rPr>
        <w:t>扩大杭嘉湖南排后续西部通道（南北线）工程南段设计采购施工(EPC)总承包</w:t>
      </w:r>
    </w:p>
    <w:p>
      <w:pPr>
        <w:spacing w:line="360" w:lineRule="auto"/>
        <w:jc w:val="center"/>
        <w:rPr>
          <w:rFonts w:ascii="宋体" w:hAnsi="宋体" w:cs="宋体"/>
          <w:bCs/>
          <w:sz w:val="52"/>
          <w:szCs w:val="52"/>
        </w:rPr>
      </w:pPr>
      <w:r>
        <w:rPr>
          <w:rFonts w:hint="eastAsia" w:ascii="宋体" w:hAnsi="宋体" w:cs="宋体"/>
          <w:bCs/>
          <w:sz w:val="52"/>
          <w:szCs w:val="52"/>
          <w:lang w:val="en-US" w:eastAsia="zh-CN"/>
        </w:rPr>
        <w:t>水泥</w:t>
      </w:r>
      <w:r>
        <w:rPr>
          <w:rFonts w:hint="eastAsia" w:ascii="宋体" w:hAnsi="宋体" w:cs="宋体"/>
          <w:bCs/>
          <w:sz w:val="52"/>
          <w:szCs w:val="52"/>
        </w:rPr>
        <w:t>采购</w:t>
      </w:r>
    </w:p>
    <w:p>
      <w:pPr>
        <w:jc w:val="center"/>
        <w:rPr>
          <w:rFonts w:ascii="宋体" w:hAnsi="宋体" w:cs="宋体"/>
          <w:spacing w:val="34"/>
          <w:sz w:val="36"/>
          <w:szCs w:val="36"/>
          <w:lang w:val="en-GB"/>
        </w:rPr>
      </w:pPr>
    </w:p>
    <w:p>
      <w:pPr>
        <w:jc w:val="center"/>
        <w:rPr>
          <w:rFonts w:ascii="宋体" w:hAnsi="宋体" w:cs="宋体"/>
          <w:spacing w:val="34"/>
          <w:sz w:val="36"/>
          <w:szCs w:val="36"/>
        </w:rPr>
      </w:pPr>
    </w:p>
    <w:p>
      <w:pPr>
        <w:jc w:val="center"/>
        <w:rPr>
          <w:rFonts w:ascii="宋体" w:hAnsi="宋体" w:cs="宋体"/>
          <w:sz w:val="84"/>
          <w:szCs w:val="84"/>
        </w:rPr>
      </w:pPr>
      <w:r>
        <w:rPr>
          <w:rFonts w:hint="eastAsia" w:ascii="宋体" w:hAnsi="宋体" w:cs="宋体"/>
          <w:spacing w:val="34"/>
          <w:sz w:val="84"/>
          <w:szCs w:val="84"/>
        </w:rPr>
        <w:t>招 标 文 件</w:t>
      </w:r>
    </w:p>
    <w:p>
      <w:pPr>
        <w:jc w:val="center"/>
        <w:rPr>
          <w:rFonts w:ascii="宋体" w:hAnsi="宋体" w:cs="宋体"/>
          <w:sz w:val="32"/>
          <w:szCs w:val="36"/>
        </w:rPr>
      </w:pPr>
    </w:p>
    <w:p>
      <w:pPr>
        <w:jc w:val="center"/>
        <w:rPr>
          <w:rFonts w:hint="eastAsia" w:ascii="宋体" w:hAnsi="宋体" w:eastAsia="宋体" w:cs="宋体"/>
          <w:b/>
          <w:sz w:val="36"/>
          <w:szCs w:val="36"/>
          <w:lang w:val="en-US" w:eastAsia="zh-CN"/>
        </w:rPr>
      </w:pPr>
      <w:r>
        <w:rPr>
          <w:rFonts w:hint="eastAsia" w:ascii="宋体" w:hAnsi="宋体" w:cs="宋体"/>
          <w:sz w:val="32"/>
          <w:szCs w:val="36"/>
        </w:rPr>
        <w:t>招标编号：ZJSD-NP-2023</w:t>
      </w:r>
      <w:r>
        <w:rPr>
          <w:rFonts w:hint="eastAsia" w:ascii="宋体" w:hAnsi="宋体" w:cs="宋体"/>
          <w:sz w:val="32"/>
          <w:szCs w:val="36"/>
          <w:lang w:eastAsia="zh-CN"/>
        </w:rPr>
        <w:t>0821</w:t>
      </w:r>
    </w:p>
    <w:p>
      <w:pPr>
        <w:pStyle w:val="12"/>
        <w:ind w:left="0" w:leftChars="0"/>
        <w:rPr>
          <w:rFonts w:ascii="宋体" w:hAnsi="宋体"/>
          <w:sz w:val="36"/>
          <w:szCs w:val="36"/>
        </w:rPr>
      </w:pPr>
    </w:p>
    <w:p>
      <w:pPr>
        <w:pStyle w:val="12"/>
        <w:ind w:left="0" w:leftChars="0" w:firstLine="2520" w:firstLineChars="700"/>
        <w:rPr>
          <w:rFonts w:ascii="宋体" w:hAnsi="宋体"/>
          <w:sz w:val="36"/>
          <w:szCs w:val="36"/>
        </w:rPr>
      </w:pPr>
    </w:p>
    <w:p>
      <w:pPr>
        <w:rPr>
          <w:rFonts w:ascii="宋体" w:hAnsi="宋体"/>
        </w:rPr>
      </w:pPr>
    </w:p>
    <w:p>
      <w:pPr>
        <w:pStyle w:val="12"/>
        <w:ind w:left="0" w:leftChars="0" w:firstLine="2520" w:firstLineChars="700"/>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12"/>
        <w:ind w:left="0" w:leftChars="0" w:firstLine="2520" w:firstLineChars="700"/>
        <w:rPr>
          <w:rFonts w:ascii="宋体" w:hAnsi="宋体"/>
          <w:sz w:val="36"/>
          <w:szCs w:val="36"/>
        </w:rPr>
      </w:pPr>
    </w:p>
    <w:p>
      <w:pPr>
        <w:pStyle w:val="12"/>
        <w:spacing w:line="360" w:lineRule="auto"/>
        <w:ind w:left="99" w:leftChars="47"/>
        <w:jc w:val="center"/>
        <w:rPr>
          <w:rFonts w:ascii="宋体" w:hAnsi="宋体"/>
          <w:sz w:val="36"/>
          <w:szCs w:val="36"/>
        </w:rPr>
      </w:pPr>
      <w:r>
        <w:rPr>
          <w:rFonts w:hint="eastAsia" w:ascii="宋体" w:hAnsi="宋体"/>
          <w:sz w:val="36"/>
          <w:szCs w:val="36"/>
        </w:rPr>
        <w:t>招标人：浙江省隧道工程集团有限公司</w:t>
      </w:r>
    </w:p>
    <w:p>
      <w:pPr>
        <w:rPr>
          <w:rFonts w:ascii="宋体" w:hAnsi="宋体"/>
          <w:sz w:val="24"/>
        </w:rPr>
      </w:pPr>
    </w:p>
    <w:p>
      <w:pPr>
        <w:spacing w:line="360" w:lineRule="auto"/>
        <w:jc w:val="center"/>
        <w:rPr>
          <w:rFonts w:ascii="宋体" w:hAnsi="宋体" w:cs="Arial"/>
          <w:b/>
          <w:sz w:val="22"/>
          <w:szCs w:val="22"/>
        </w:rPr>
      </w:pPr>
      <w:r>
        <w:rPr>
          <w:rFonts w:hint="eastAsia" w:ascii="宋体" w:hAnsi="宋体"/>
          <w:b/>
          <w:sz w:val="30"/>
          <w:szCs w:val="30"/>
        </w:rPr>
        <w:t>二○二</w:t>
      </w:r>
      <w:r>
        <w:rPr>
          <w:rFonts w:hint="eastAsia"/>
          <w:b/>
          <w:sz w:val="30"/>
          <w:szCs w:val="30"/>
        </w:rPr>
        <w:t>三</w:t>
      </w:r>
      <w:r>
        <w:rPr>
          <w:rFonts w:hint="eastAsia" w:ascii="宋体" w:hAnsi="宋体"/>
          <w:b/>
          <w:sz w:val="30"/>
          <w:szCs w:val="30"/>
        </w:rPr>
        <w:t>年</w:t>
      </w:r>
      <w:r>
        <w:rPr>
          <w:rFonts w:hint="eastAsia" w:ascii="宋体" w:hAnsi="宋体"/>
          <w:b/>
          <w:sz w:val="30"/>
          <w:szCs w:val="30"/>
          <w:lang w:val="en-US" w:eastAsia="zh-CN"/>
        </w:rPr>
        <w:t>八</w:t>
      </w:r>
      <w:r>
        <w:rPr>
          <w:rFonts w:hint="eastAsia" w:ascii="宋体" w:hAnsi="宋体"/>
          <w:b/>
          <w:sz w:val="30"/>
          <w:szCs w:val="30"/>
        </w:rPr>
        <w:t>月</w:t>
      </w:r>
    </w:p>
    <w:p>
      <w:pPr>
        <w:spacing w:line="360" w:lineRule="auto"/>
        <w:jc w:val="center"/>
        <w:rPr>
          <w:rFonts w:ascii="宋体" w:hAnsi="宋体" w:cs="Arial"/>
          <w:bCs/>
          <w:sz w:val="52"/>
          <w:szCs w:val="52"/>
        </w:rPr>
      </w:pPr>
      <w:r>
        <w:rPr>
          <w:rFonts w:ascii="宋体" w:hAnsi="宋体" w:cs="Arial"/>
          <w:bCs/>
          <w:sz w:val="52"/>
          <w:szCs w:val="52"/>
        </w:rPr>
        <w:t>目    录</w:t>
      </w:r>
    </w:p>
    <w:p>
      <w:pPr>
        <w:spacing w:line="360" w:lineRule="auto"/>
        <w:jc w:val="center"/>
        <w:rPr>
          <w:rFonts w:ascii="宋体" w:hAnsi="宋体" w:cs="Arial"/>
          <w:b/>
          <w:bCs/>
          <w:sz w:val="32"/>
          <w:szCs w:val="32"/>
        </w:rPr>
      </w:pPr>
    </w:p>
    <w:p>
      <w:pPr>
        <w:spacing w:line="360" w:lineRule="auto"/>
        <w:ind w:firstLine="1280" w:firstLineChars="400"/>
        <w:rPr>
          <w:rFonts w:ascii="宋体" w:hAnsi="宋体" w:cs="Arial"/>
          <w:sz w:val="32"/>
        </w:rPr>
      </w:pPr>
      <w:r>
        <w:rPr>
          <w:rFonts w:ascii="宋体" w:hAnsi="宋体" w:cs="Arial"/>
          <w:sz w:val="32"/>
        </w:rPr>
        <w:t xml:space="preserve">第一部分      </w:t>
      </w:r>
      <w:r>
        <w:rPr>
          <w:rFonts w:hint="eastAsia" w:ascii="宋体" w:hAnsi="宋体" w:cs="Arial"/>
          <w:sz w:val="32"/>
        </w:rPr>
        <w:t>投标函</w:t>
      </w:r>
    </w:p>
    <w:p>
      <w:pPr>
        <w:spacing w:line="360" w:lineRule="auto"/>
        <w:ind w:firstLine="1280" w:firstLineChars="400"/>
        <w:rPr>
          <w:rFonts w:ascii="宋体" w:hAnsi="宋体" w:cs="Arial"/>
          <w:sz w:val="32"/>
        </w:rPr>
      </w:pPr>
      <w:r>
        <w:rPr>
          <w:rFonts w:ascii="宋体" w:hAnsi="宋体" w:cs="Arial"/>
          <w:sz w:val="32"/>
        </w:rPr>
        <w:t>第二部分      编制和提交投标文件须知</w:t>
      </w:r>
    </w:p>
    <w:p>
      <w:pPr>
        <w:spacing w:line="360" w:lineRule="auto"/>
        <w:ind w:firstLine="1280" w:firstLineChars="400"/>
        <w:rPr>
          <w:rFonts w:ascii="宋体" w:hAnsi="宋体" w:cs="Arial"/>
          <w:sz w:val="32"/>
        </w:rPr>
      </w:pPr>
      <w:r>
        <w:rPr>
          <w:rFonts w:ascii="宋体" w:hAnsi="宋体" w:cs="Arial"/>
          <w:sz w:val="32"/>
        </w:rPr>
        <w:t>第三部分      采购需求和服务要求</w:t>
      </w:r>
    </w:p>
    <w:p>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pPr>
        <w:spacing w:line="360" w:lineRule="auto"/>
        <w:jc w:val="center"/>
        <w:rPr>
          <w:rFonts w:ascii="宋体" w:hAnsi="宋体" w:cs="Arial"/>
          <w:b/>
          <w:bCs/>
          <w:sz w:val="32"/>
          <w:szCs w:val="32"/>
        </w:rPr>
      </w:pPr>
    </w:p>
    <w:p>
      <w:pPr>
        <w:spacing w:line="360" w:lineRule="auto"/>
        <w:jc w:val="center"/>
        <w:rPr>
          <w:rFonts w:ascii="宋体" w:hAnsi="宋体" w:cs="Arial"/>
          <w:b/>
          <w:bCs/>
          <w:sz w:val="32"/>
          <w:szCs w:val="32"/>
        </w:rPr>
      </w:pPr>
    </w:p>
    <w:p>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rPr>
        <w:t>投标</w:t>
      </w:r>
      <w:r>
        <w:rPr>
          <w:rFonts w:hint="eastAsia" w:ascii="宋体" w:hAnsi="宋体" w:cs="Arial"/>
          <w:b/>
          <w:sz w:val="36"/>
          <w:szCs w:val="36"/>
          <w:lang w:val="en-US" w:eastAsia="zh-CN"/>
        </w:rPr>
        <w:t>邀请</w:t>
      </w:r>
      <w:r>
        <w:rPr>
          <w:rFonts w:hint="eastAsia" w:ascii="宋体" w:hAnsi="宋体" w:cs="Arial"/>
          <w:b/>
          <w:sz w:val="36"/>
          <w:szCs w:val="36"/>
        </w:rPr>
        <w:t>函</w:t>
      </w:r>
    </w:p>
    <w:p>
      <w:pPr>
        <w:spacing w:line="460" w:lineRule="exact"/>
        <w:jc w:val="center"/>
        <w:rPr>
          <w:rFonts w:ascii="宋体" w:hAnsi="宋体" w:cs="Arial"/>
          <w:b/>
          <w:bCs/>
          <w:sz w:val="36"/>
        </w:rPr>
      </w:pPr>
    </w:p>
    <w:p>
      <w:pPr>
        <w:spacing w:line="440" w:lineRule="exact"/>
        <w:ind w:firstLine="480"/>
        <w:rPr>
          <w:rFonts w:hint="eastAsia" w:ascii="宋体" w:hAnsi="宋体" w:eastAsia="宋体" w:cs="Arial"/>
          <w:b/>
          <w:sz w:val="24"/>
          <w:lang w:val="en-US" w:eastAsia="zh-CN"/>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hint="eastAsia" w:ascii="宋体" w:hAnsi="宋体" w:cs="Arial"/>
          <w:sz w:val="24"/>
        </w:rPr>
        <w:t>ZJSD-NP-2023</w:t>
      </w:r>
      <w:r>
        <w:rPr>
          <w:rFonts w:hint="eastAsia" w:ascii="宋体" w:hAnsi="宋体" w:cs="Arial"/>
          <w:sz w:val="24"/>
          <w:lang w:eastAsia="zh-CN"/>
        </w:rPr>
        <w:t>0821</w:t>
      </w:r>
    </w:p>
    <w:p>
      <w:pPr>
        <w:spacing w:line="440" w:lineRule="exact"/>
        <w:ind w:firstLine="482" w:firstLineChars="200"/>
        <w:rPr>
          <w:rFonts w:ascii="宋体" w:hAnsi="宋体" w:cs="Arial"/>
          <w:sz w:val="24"/>
        </w:rPr>
      </w:pPr>
      <w:r>
        <w:rPr>
          <w:rFonts w:ascii="宋体" w:hAnsi="宋体" w:cs="Arial"/>
          <w:b/>
          <w:sz w:val="24"/>
        </w:rPr>
        <w:t>2、项目名称：</w:t>
      </w:r>
      <w:r>
        <w:rPr>
          <w:rFonts w:hint="eastAsia" w:ascii="宋体" w:hAnsi="宋体" w:cs="Arial"/>
          <w:bCs/>
          <w:sz w:val="24"/>
        </w:rPr>
        <w:t>扩大杭嘉湖南排后续西部通道（南北线）工程南段设计采购施工（E</w:t>
      </w:r>
      <w:r>
        <w:rPr>
          <w:rFonts w:ascii="宋体" w:hAnsi="宋体" w:cs="Arial"/>
          <w:bCs/>
          <w:sz w:val="24"/>
        </w:rPr>
        <w:t>PC</w:t>
      </w:r>
      <w:r>
        <w:rPr>
          <w:rFonts w:hint="eastAsia" w:ascii="宋体" w:hAnsi="宋体" w:cs="Arial"/>
          <w:bCs/>
          <w:sz w:val="24"/>
        </w:rPr>
        <w:t>）总承包</w:t>
      </w:r>
    </w:p>
    <w:p>
      <w:pPr>
        <w:spacing w:line="440" w:lineRule="exact"/>
        <w:ind w:firstLine="480"/>
        <w:rPr>
          <w:rFonts w:ascii="宋体" w:hAnsi="宋体" w:cs="Arial"/>
          <w:bCs/>
          <w:sz w:val="24"/>
        </w:rPr>
      </w:pPr>
      <w:r>
        <w:rPr>
          <w:rFonts w:ascii="宋体" w:hAnsi="宋体" w:cs="Arial"/>
          <w:b/>
          <w:sz w:val="24"/>
        </w:rPr>
        <w:t>3、采购内容：</w:t>
      </w:r>
      <w:r>
        <w:rPr>
          <w:rFonts w:hint="eastAsia" w:ascii="宋体" w:hAnsi="宋体" w:cs="Arial"/>
          <w:bCs/>
          <w:sz w:val="24"/>
          <w:lang w:val="en-US" w:eastAsia="zh-CN"/>
        </w:rPr>
        <w:t>P.0 42.5散装水泥10000</w:t>
      </w:r>
      <w:r>
        <w:rPr>
          <w:rFonts w:hint="eastAsia" w:ascii="宋体" w:hAnsi="宋体" w:cs="宋体"/>
          <w:kern w:val="0"/>
          <w:sz w:val="24"/>
          <w:lang w:val="en-US" w:eastAsia="zh-CN"/>
        </w:rPr>
        <w:t>t</w:t>
      </w:r>
      <w:r>
        <w:rPr>
          <w:rFonts w:hint="eastAsia" w:ascii="宋体" w:hAnsi="宋体" w:cs="Arial"/>
          <w:bCs/>
          <w:sz w:val="24"/>
        </w:rPr>
        <w:t>。</w:t>
      </w:r>
    </w:p>
    <w:p>
      <w:pPr>
        <w:spacing w:line="440" w:lineRule="exact"/>
        <w:ind w:firstLine="480"/>
        <w:rPr>
          <w:rFonts w:ascii="宋体" w:hAnsi="宋体" w:cs="Arial"/>
          <w:sz w:val="24"/>
        </w:rPr>
      </w:pPr>
      <w:r>
        <w:rPr>
          <w:rFonts w:hint="eastAsia" w:ascii="宋体" w:hAnsi="宋体" w:cs="Arial"/>
          <w:b/>
          <w:sz w:val="24"/>
        </w:rPr>
        <w:t>4</w:t>
      </w:r>
      <w:r>
        <w:rPr>
          <w:rFonts w:ascii="宋体" w:hAnsi="宋体" w:cs="Arial"/>
          <w:b/>
          <w:sz w:val="24"/>
        </w:rPr>
        <w:t>、采购</w:t>
      </w:r>
      <w:r>
        <w:rPr>
          <w:rFonts w:hint="eastAsia" w:ascii="宋体" w:hAnsi="宋体" w:cs="Arial"/>
          <w:b/>
          <w:sz w:val="24"/>
        </w:rPr>
        <w:t>招标</w:t>
      </w:r>
      <w:r>
        <w:rPr>
          <w:rFonts w:ascii="宋体" w:hAnsi="宋体" w:cs="Arial"/>
          <w:b/>
          <w:sz w:val="24"/>
        </w:rPr>
        <w:t>方式：</w:t>
      </w:r>
      <w:r>
        <w:rPr>
          <w:rFonts w:hint="eastAsia" w:ascii="宋体" w:hAnsi="宋体" w:cs="Arial"/>
          <w:sz w:val="24"/>
          <w:lang w:val="en-US" w:eastAsia="zh-CN"/>
        </w:rPr>
        <w:t>邀请</w:t>
      </w:r>
      <w:r>
        <w:rPr>
          <w:rFonts w:ascii="宋体" w:hAnsi="宋体" w:cs="Arial"/>
          <w:sz w:val="24"/>
        </w:rPr>
        <w:t>招标。</w:t>
      </w:r>
    </w:p>
    <w:p>
      <w:pPr>
        <w:spacing w:line="440" w:lineRule="exact"/>
        <w:ind w:firstLine="480"/>
        <w:rPr>
          <w:rFonts w:ascii="宋体" w:hAnsi="宋体" w:cs="Arial"/>
          <w:b/>
          <w:bCs w:val="0"/>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pPr>
        <w:spacing w:line="440" w:lineRule="exact"/>
        <w:ind w:firstLine="480"/>
        <w:rPr>
          <w:rFonts w:hint="eastAsia" w:ascii="宋体" w:hAnsi="宋体" w:eastAsia="宋体" w:cs="Arial"/>
          <w:sz w:val="24"/>
          <w:lang w:val="en-US" w:eastAsia="zh-CN"/>
        </w:rPr>
      </w:pPr>
      <w:r>
        <w:rPr>
          <w:rFonts w:hint="eastAsia" w:ascii="宋体" w:hAnsi="宋体" w:cs="Arial"/>
          <w:sz w:val="24"/>
          <w:lang w:val="en-US" w:eastAsia="zh-CN"/>
        </w:rPr>
        <w:t>2023</w:t>
      </w:r>
      <w:r>
        <w:rPr>
          <w:rFonts w:ascii="宋体" w:hAnsi="宋体" w:cs="Arial"/>
          <w:sz w:val="24"/>
        </w:rPr>
        <w:t>年</w:t>
      </w:r>
      <w:r>
        <w:rPr>
          <w:rFonts w:hint="eastAsia" w:ascii="宋体" w:hAnsi="宋体" w:cs="Arial"/>
          <w:sz w:val="24"/>
          <w:lang w:val="en-US" w:eastAsia="zh-CN"/>
        </w:rPr>
        <w:t>08</w:t>
      </w:r>
      <w:r>
        <w:rPr>
          <w:rFonts w:ascii="宋体" w:hAnsi="宋体" w:cs="Arial"/>
          <w:sz w:val="24"/>
        </w:rPr>
        <w:t>月</w:t>
      </w:r>
      <w:r>
        <w:rPr>
          <w:rFonts w:hint="eastAsia" w:ascii="宋体" w:hAnsi="宋体" w:cs="Arial"/>
          <w:sz w:val="24"/>
          <w:lang w:val="en-US" w:eastAsia="zh-CN"/>
        </w:rPr>
        <w:t>29</w:t>
      </w:r>
      <w:r>
        <w:rPr>
          <w:rFonts w:ascii="宋体" w:hAnsi="宋体" w:cs="Arial"/>
          <w:sz w:val="24"/>
        </w:rPr>
        <w:t>日至</w:t>
      </w:r>
      <w:r>
        <w:rPr>
          <w:rFonts w:hint="eastAsia" w:ascii="宋体" w:hAnsi="宋体" w:cs="Arial"/>
          <w:sz w:val="24"/>
          <w:lang w:val="en-US" w:eastAsia="zh-CN"/>
        </w:rPr>
        <w:t>2023</w:t>
      </w:r>
      <w:r>
        <w:rPr>
          <w:rFonts w:ascii="宋体" w:hAnsi="宋体" w:cs="Arial"/>
          <w:sz w:val="24"/>
        </w:rPr>
        <w:t>年</w:t>
      </w:r>
      <w:r>
        <w:rPr>
          <w:rFonts w:hint="eastAsia" w:ascii="宋体" w:hAnsi="宋体" w:cs="Arial"/>
          <w:sz w:val="24"/>
          <w:lang w:val="en-US" w:eastAsia="zh-CN"/>
        </w:rPr>
        <w:t>09</w:t>
      </w:r>
      <w:r>
        <w:rPr>
          <w:rFonts w:ascii="宋体" w:hAnsi="宋体" w:cs="Arial"/>
          <w:sz w:val="24"/>
        </w:rPr>
        <w:t>月</w:t>
      </w:r>
      <w:r>
        <w:rPr>
          <w:rFonts w:hint="eastAsia" w:ascii="宋体" w:hAnsi="宋体" w:cs="Arial"/>
          <w:sz w:val="24"/>
          <w:lang w:val="en-US" w:eastAsia="zh-CN"/>
        </w:rPr>
        <w:t>06</w:t>
      </w:r>
      <w:r>
        <w:rPr>
          <w:rFonts w:ascii="宋体" w:hAnsi="宋体" w:cs="Arial"/>
          <w:sz w:val="24"/>
        </w:rPr>
        <w:t>日止</w:t>
      </w:r>
      <w:r>
        <w:rPr>
          <w:rFonts w:hint="eastAsia" w:ascii="宋体" w:hAnsi="宋体" w:cs="Arial"/>
          <w:sz w:val="24"/>
        </w:rPr>
        <w:t>，通过</w:t>
      </w:r>
      <w:r>
        <w:rPr>
          <w:rFonts w:hint="eastAsia" w:ascii="宋体" w:hAnsi="宋体" w:cs="Arial"/>
          <w:sz w:val="24"/>
          <w:lang w:val="en-US" w:eastAsia="zh-CN"/>
        </w:rPr>
        <w:t>浙江省隧道工程集团有限公司官网</w:t>
      </w:r>
      <w:r>
        <w:rPr>
          <w:rFonts w:hint="eastAsia" w:ascii="宋体" w:hAnsi="宋体" w:cs="Arial"/>
          <w:sz w:val="24"/>
        </w:rPr>
        <w:t>http://www.zj-tunnel.com</w:t>
      </w:r>
      <w:r>
        <w:rPr>
          <w:rFonts w:hint="eastAsia" w:ascii="宋体" w:hAnsi="宋体" w:cs="Arial"/>
          <w:sz w:val="24"/>
          <w:lang w:val="en-US" w:eastAsia="zh-CN"/>
        </w:rPr>
        <w:t>招标信息栏自行获取。</w:t>
      </w:r>
    </w:p>
    <w:p>
      <w:pPr>
        <w:spacing w:line="440" w:lineRule="exact"/>
        <w:ind w:firstLine="480"/>
        <w:rPr>
          <w:rFonts w:ascii="宋体" w:hAnsi="宋体" w:cs="Arial"/>
          <w:b/>
          <w:sz w:val="24"/>
        </w:rPr>
      </w:pPr>
      <w:r>
        <w:rPr>
          <w:rFonts w:hint="eastAsia" w:ascii="宋体" w:hAnsi="宋体" w:cs="Arial"/>
          <w:b/>
          <w:sz w:val="24"/>
        </w:rPr>
        <w:t>6</w:t>
      </w:r>
      <w:r>
        <w:rPr>
          <w:rFonts w:ascii="宋体" w:hAnsi="宋体" w:cs="Arial"/>
          <w:b/>
          <w:sz w:val="24"/>
        </w:rPr>
        <w:t>、投标截止时间与</w:t>
      </w:r>
      <w:r>
        <w:rPr>
          <w:rFonts w:hint="eastAsia" w:ascii="宋体" w:hAnsi="宋体" w:cs="Arial"/>
          <w:b/>
          <w:sz w:val="24"/>
        </w:rPr>
        <w:t>标书送达</w:t>
      </w:r>
      <w:r>
        <w:rPr>
          <w:rFonts w:ascii="宋体" w:hAnsi="宋体" w:cs="Arial"/>
          <w:b/>
          <w:sz w:val="24"/>
        </w:rPr>
        <w:t>地点：</w:t>
      </w:r>
    </w:p>
    <w:p>
      <w:pPr>
        <w:spacing w:line="440" w:lineRule="exact"/>
        <w:ind w:firstLine="480"/>
        <w:rPr>
          <w:rFonts w:ascii="宋体" w:hAnsi="宋体" w:cs="Arial"/>
          <w:sz w:val="24"/>
        </w:rPr>
      </w:pPr>
      <w:r>
        <w:rPr>
          <w:rFonts w:hint="eastAsia" w:ascii="宋体" w:hAnsi="宋体" w:cs="Arial"/>
          <w:sz w:val="24"/>
        </w:rPr>
        <w:t>投标截止时间：</w:t>
      </w:r>
      <w:r>
        <w:rPr>
          <w:rFonts w:hint="eastAsia" w:ascii="宋体" w:hAnsi="宋体" w:cs="Arial"/>
          <w:sz w:val="24"/>
          <w:lang w:val="en-US" w:eastAsia="zh-CN"/>
        </w:rPr>
        <w:t>2023</w:t>
      </w:r>
      <w:r>
        <w:rPr>
          <w:rFonts w:ascii="宋体" w:hAnsi="宋体" w:cs="Arial"/>
          <w:sz w:val="24"/>
        </w:rPr>
        <w:t>年</w:t>
      </w:r>
      <w:r>
        <w:rPr>
          <w:rFonts w:hint="eastAsia" w:ascii="宋体" w:hAnsi="宋体" w:cs="Arial"/>
          <w:sz w:val="24"/>
          <w:lang w:val="en-US" w:eastAsia="zh-CN"/>
        </w:rPr>
        <w:t>09</w:t>
      </w:r>
      <w:r>
        <w:rPr>
          <w:rFonts w:ascii="宋体" w:hAnsi="宋体" w:cs="Arial"/>
          <w:sz w:val="24"/>
        </w:rPr>
        <w:t>月</w:t>
      </w:r>
      <w:r>
        <w:rPr>
          <w:rFonts w:hint="eastAsia" w:ascii="宋体" w:hAnsi="宋体" w:cs="Arial"/>
          <w:sz w:val="24"/>
          <w:lang w:val="en-US" w:eastAsia="zh-CN"/>
        </w:rPr>
        <w:t>07</w:t>
      </w:r>
      <w:r>
        <w:rPr>
          <w:rFonts w:ascii="宋体" w:hAnsi="宋体" w:cs="Arial"/>
          <w:sz w:val="24"/>
        </w:rPr>
        <w:t>日</w:t>
      </w:r>
      <w:r>
        <w:rPr>
          <w:rFonts w:hint="eastAsia" w:ascii="宋体" w:hAnsi="宋体" w:cs="Arial"/>
          <w:sz w:val="24"/>
        </w:rPr>
        <w:t>下</w:t>
      </w:r>
      <w:r>
        <w:rPr>
          <w:rFonts w:ascii="宋体" w:hAnsi="宋体" w:cs="Arial"/>
          <w:sz w:val="24"/>
        </w:rPr>
        <w:t>午</w:t>
      </w:r>
      <w:r>
        <w:rPr>
          <w:rFonts w:hint="eastAsia" w:ascii="宋体" w:hAnsi="宋体" w:cs="Arial"/>
          <w:sz w:val="24"/>
          <w:lang w:val="en-US" w:eastAsia="zh-CN"/>
        </w:rPr>
        <w:t>16</w:t>
      </w:r>
      <w:r>
        <w:rPr>
          <w:rFonts w:ascii="宋体" w:hAnsi="宋体" w:cs="Arial"/>
          <w:sz w:val="24"/>
        </w:rPr>
        <w:t>时</w:t>
      </w:r>
    </w:p>
    <w:p>
      <w:pPr>
        <w:spacing w:line="440" w:lineRule="exact"/>
        <w:ind w:firstLine="482"/>
        <w:rPr>
          <w:rFonts w:hint="eastAsia" w:ascii="宋体" w:hAnsi="宋体" w:cs="Arial"/>
          <w:sz w:val="24"/>
        </w:rPr>
      </w:pPr>
      <w:r>
        <w:rPr>
          <w:rFonts w:hint="eastAsia" w:ascii="宋体" w:hAnsi="宋体" w:cs="Arial"/>
          <w:sz w:val="24"/>
        </w:rPr>
        <w:t>标书送达</w:t>
      </w:r>
      <w:r>
        <w:rPr>
          <w:rFonts w:ascii="宋体" w:hAnsi="宋体" w:cs="Arial"/>
          <w:sz w:val="24"/>
        </w:rPr>
        <w:t>地点：</w:t>
      </w:r>
      <w:r>
        <w:rPr>
          <w:rFonts w:hint="eastAsia" w:ascii="宋体" w:hAnsi="宋体" w:cs="Arial"/>
          <w:sz w:val="24"/>
        </w:rPr>
        <w:t>杭州市西湖区留下街道天目山路505号（浙江省隧道工程集团有限公司南排项目部）</w:t>
      </w:r>
    </w:p>
    <w:p>
      <w:pPr>
        <w:spacing w:line="440" w:lineRule="exact"/>
        <w:ind w:firstLine="482"/>
        <w:rPr>
          <w:rFonts w:ascii="宋体" w:hAnsi="宋体" w:cs="Arial"/>
          <w:b/>
          <w:sz w:val="24"/>
        </w:rPr>
      </w:pPr>
      <w:r>
        <w:rPr>
          <w:rFonts w:ascii="宋体" w:hAnsi="宋体" w:cs="Arial"/>
          <w:b/>
          <w:sz w:val="24"/>
        </w:rPr>
        <w:t>7、开标时间与地点：</w:t>
      </w:r>
    </w:p>
    <w:p>
      <w:pPr>
        <w:spacing w:line="440" w:lineRule="exact"/>
        <w:ind w:firstLine="480"/>
        <w:rPr>
          <w:rFonts w:ascii="宋体" w:hAnsi="宋体" w:cs="Arial"/>
          <w:sz w:val="24"/>
        </w:rPr>
      </w:pPr>
      <w:r>
        <w:rPr>
          <w:rFonts w:hint="eastAsia" w:ascii="宋体" w:hAnsi="宋体" w:cs="Arial"/>
          <w:sz w:val="24"/>
        </w:rPr>
        <w:t>开标时间：</w:t>
      </w:r>
      <w:r>
        <w:rPr>
          <w:rFonts w:ascii="宋体" w:hAnsi="宋体" w:cs="Arial"/>
          <w:sz w:val="24"/>
        </w:rPr>
        <w:t>202</w:t>
      </w:r>
      <w:r>
        <w:rPr>
          <w:rFonts w:hint="eastAsia" w:ascii="宋体" w:hAnsi="宋体" w:cs="Arial"/>
          <w:sz w:val="24"/>
        </w:rPr>
        <w:t>3</w:t>
      </w:r>
      <w:r>
        <w:rPr>
          <w:rFonts w:ascii="宋体" w:hAnsi="宋体" w:cs="Arial"/>
          <w:sz w:val="24"/>
        </w:rPr>
        <w:t>年</w:t>
      </w:r>
      <w:r>
        <w:rPr>
          <w:rFonts w:hint="eastAsia" w:ascii="宋体" w:hAnsi="宋体" w:cs="Arial"/>
          <w:sz w:val="24"/>
          <w:lang w:val="en-US" w:eastAsia="zh-CN"/>
        </w:rPr>
        <w:t>9</w:t>
      </w:r>
      <w:r>
        <w:rPr>
          <w:rFonts w:ascii="宋体" w:hAnsi="宋体" w:cs="Arial"/>
          <w:sz w:val="24"/>
        </w:rPr>
        <w:t>月</w:t>
      </w:r>
      <w:r>
        <w:rPr>
          <w:rFonts w:hint="eastAsia" w:ascii="宋体" w:hAnsi="宋体" w:cs="Arial"/>
          <w:sz w:val="24"/>
          <w:lang w:val="en-US" w:eastAsia="zh-CN"/>
        </w:rPr>
        <w:t>8</w:t>
      </w:r>
      <w:r>
        <w:rPr>
          <w:rFonts w:ascii="宋体" w:hAnsi="宋体" w:cs="Arial"/>
          <w:sz w:val="24"/>
        </w:rPr>
        <w:t>日</w:t>
      </w:r>
      <w:r>
        <w:rPr>
          <w:rFonts w:hint="eastAsia" w:ascii="宋体" w:hAnsi="宋体" w:cs="Arial"/>
          <w:sz w:val="24"/>
          <w:lang w:val="en-US" w:eastAsia="zh-CN"/>
        </w:rPr>
        <w:t>下</w:t>
      </w:r>
      <w:r>
        <w:rPr>
          <w:rFonts w:ascii="宋体" w:hAnsi="宋体" w:cs="Arial"/>
          <w:sz w:val="24"/>
        </w:rPr>
        <w:t>午1</w:t>
      </w:r>
      <w:r>
        <w:rPr>
          <w:rFonts w:hint="eastAsia" w:ascii="宋体" w:hAnsi="宋体" w:cs="Arial"/>
          <w:sz w:val="24"/>
          <w:lang w:val="en-US" w:eastAsia="zh-CN"/>
        </w:rPr>
        <w:t>4</w:t>
      </w:r>
      <w:r>
        <w:rPr>
          <w:rFonts w:ascii="宋体" w:hAnsi="宋体" w:cs="Arial"/>
          <w:sz w:val="24"/>
        </w:rPr>
        <w:t>时30分</w:t>
      </w:r>
      <w:r>
        <w:rPr>
          <w:rFonts w:hint="eastAsia" w:ascii="宋体" w:hAnsi="宋体" w:cs="Arial"/>
          <w:sz w:val="24"/>
        </w:rPr>
        <w:t>。</w:t>
      </w:r>
    </w:p>
    <w:p>
      <w:pPr>
        <w:spacing w:line="440" w:lineRule="exact"/>
        <w:ind w:firstLine="482"/>
        <w:rPr>
          <w:rFonts w:ascii="宋体" w:hAnsi="宋体" w:cs="Arial"/>
          <w:sz w:val="24"/>
        </w:rPr>
      </w:pPr>
      <w:r>
        <w:rPr>
          <w:rFonts w:hint="eastAsia" w:ascii="宋体" w:hAnsi="宋体" w:cs="Arial"/>
          <w:sz w:val="24"/>
        </w:rPr>
        <w:t>开标</w:t>
      </w:r>
      <w:r>
        <w:rPr>
          <w:rFonts w:ascii="宋体" w:hAnsi="宋体" w:cs="Arial"/>
          <w:sz w:val="24"/>
        </w:rPr>
        <w:t>地点：</w:t>
      </w:r>
      <w:r>
        <w:rPr>
          <w:rFonts w:hint="eastAsia" w:ascii="宋体" w:hAnsi="宋体" w:cs="Arial"/>
          <w:sz w:val="24"/>
        </w:rPr>
        <w:t>浙江省杭州市西湖区古墩路673号瑞博国际A座15楼会议室。</w:t>
      </w:r>
    </w:p>
    <w:p>
      <w:pPr>
        <w:pStyle w:val="6"/>
        <w:spacing w:line="440" w:lineRule="exact"/>
        <w:ind w:firstLine="482"/>
        <w:rPr>
          <w:rFonts w:ascii="宋体" w:hAnsi="宋体" w:cs="Arial"/>
          <w:b/>
          <w:sz w:val="24"/>
          <w:szCs w:val="24"/>
        </w:rPr>
      </w:pPr>
      <w:r>
        <w:rPr>
          <w:rFonts w:ascii="宋体" w:hAnsi="宋体" w:cs="Arial"/>
          <w:b/>
          <w:sz w:val="24"/>
          <w:szCs w:val="24"/>
        </w:rPr>
        <w:t>8、联系方式：</w:t>
      </w:r>
    </w:p>
    <w:p>
      <w:pPr>
        <w:spacing w:line="440" w:lineRule="exact"/>
        <w:ind w:firstLine="480"/>
        <w:rPr>
          <w:rFonts w:ascii="宋体" w:hAnsi="宋体" w:cs="Arial"/>
          <w:sz w:val="24"/>
        </w:rPr>
      </w:pPr>
      <w:r>
        <w:rPr>
          <w:rFonts w:ascii="宋体" w:hAnsi="宋体" w:cs="Arial"/>
          <w:sz w:val="24"/>
        </w:rPr>
        <w:t>浙江省隧道工程集团有限公司</w:t>
      </w:r>
    </w:p>
    <w:p>
      <w:pPr>
        <w:spacing w:line="440" w:lineRule="exact"/>
        <w:ind w:firstLine="480"/>
        <w:rPr>
          <w:rFonts w:hint="default" w:ascii="宋体" w:hAnsi="宋体" w:eastAsia="宋体" w:cs="Arial"/>
          <w:sz w:val="24"/>
          <w:lang w:val="en-US" w:eastAsia="zh-CN"/>
        </w:rPr>
      </w:pPr>
      <w:r>
        <w:rPr>
          <w:rFonts w:hint="eastAsia" w:ascii="宋体" w:hAnsi="宋体" w:cs="Arial"/>
          <w:sz w:val="24"/>
        </w:rPr>
        <w:t>联系电话：</w:t>
      </w:r>
      <w:r>
        <w:rPr>
          <w:rFonts w:hint="eastAsia" w:ascii="宋体" w:hAnsi="宋体" w:cs="Arial"/>
          <w:sz w:val="24"/>
          <w:lang w:val="en-US" w:eastAsia="zh-CN"/>
        </w:rPr>
        <w:t>18268820693</w:t>
      </w:r>
    </w:p>
    <w:p>
      <w:pPr>
        <w:spacing w:line="440" w:lineRule="exact"/>
        <w:ind w:firstLine="480"/>
        <w:rPr>
          <w:rFonts w:hint="eastAsia" w:ascii="宋体" w:hAnsi="宋体" w:eastAsia="宋体" w:cs="Arial"/>
          <w:sz w:val="24"/>
          <w:lang w:eastAsia="zh-CN"/>
        </w:rPr>
      </w:pPr>
      <w:r>
        <w:rPr>
          <w:rFonts w:hint="eastAsia" w:ascii="宋体" w:hAnsi="宋体" w:cs="Arial"/>
          <w:sz w:val="24"/>
        </w:rPr>
        <w:t>联 系 人：</w:t>
      </w:r>
      <w:r>
        <w:rPr>
          <w:rFonts w:hint="eastAsia" w:ascii="宋体" w:hAnsi="宋体" w:cs="Arial"/>
          <w:sz w:val="24"/>
          <w:lang w:val="en-US" w:eastAsia="zh-CN"/>
        </w:rPr>
        <w:t>谢敏杰</w:t>
      </w:r>
    </w:p>
    <w:p>
      <w:pPr>
        <w:pStyle w:val="6"/>
        <w:spacing w:line="360" w:lineRule="auto"/>
        <w:ind w:firstLine="482"/>
        <w:rPr>
          <w:rFonts w:ascii="宋体" w:hAnsi="宋体" w:cs="Arial"/>
          <w:sz w:val="24"/>
          <w:szCs w:val="24"/>
        </w:rPr>
      </w:pPr>
    </w:p>
    <w:p>
      <w:pPr>
        <w:pStyle w:val="6"/>
        <w:spacing w:line="440" w:lineRule="exact"/>
        <w:ind w:firstLine="482"/>
        <w:rPr>
          <w:rFonts w:ascii="宋体" w:hAnsi="宋体" w:cs="Arial"/>
          <w:sz w:val="24"/>
          <w:szCs w:val="24"/>
        </w:rPr>
      </w:pPr>
    </w:p>
    <w:p>
      <w:pPr>
        <w:pStyle w:val="6"/>
        <w:spacing w:line="440" w:lineRule="exact"/>
        <w:ind w:firstLine="482"/>
        <w:rPr>
          <w:rFonts w:ascii="宋体" w:hAnsi="宋体" w:cs="Arial"/>
          <w:sz w:val="24"/>
          <w:szCs w:val="24"/>
        </w:rPr>
      </w:pPr>
    </w:p>
    <w:p>
      <w:pPr>
        <w:pStyle w:val="6"/>
        <w:spacing w:line="440" w:lineRule="exact"/>
        <w:ind w:firstLine="482"/>
        <w:rPr>
          <w:rFonts w:ascii="宋体" w:hAnsi="宋体" w:cs="Arial"/>
          <w:sz w:val="24"/>
          <w:szCs w:val="24"/>
        </w:rPr>
      </w:pPr>
    </w:p>
    <w:p>
      <w:pPr>
        <w:pStyle w:val="6"/>
        <w:spacing w:line="440" w:lineRule="exact"/>
        <w:ind w:firstLine="482"/>
        <w:rPr>
          <w:rFonts w:ascii="宋体" w:hAnsi="宋体" w:cs="Arial"/>
          <w:sz w:val="24"/>
          <w:szCs w:val="24"/>
        </w:rPr>
      </w:pPr>
    </w:p>
    <w:p>
      <w:pPr>
        <w:pStyle w:val="6"/>
        <w:spacing w:line="440" w:lineRule="exact"/>
        <w:ind w:firstLine="482"/>
        <w:rPr>
          <w:rFonts w:hint="eastAsia" w:ascii="宋体" w:hAnsi="宋体" w:cs="Arial"/>
          <w:sz w:val="24"/>
          <w:szCs w:val="24"/>
        </w:rPr>
      </w:pPr>
    </w:p>
    <w:p>
      <w:pPr>
        <w:spacing w:line="440" w:lineRule="exact"/>
        <w:ind w:firstLine="204" w:firstLineChars="85"/>
        <w:jc w:val="right"/>
        <w:rPr>
          <w:rFonts w:ascii="宋体" w:hAnsi="宋体" w:cs="Arial"/>
          <w:sz w:val="24"/>
        </w:rPr>
      </w:pPr>
      <w:r>
        <w:rPr>
          <w:rFonts w:ascii="宋体" w:hAnsi="宋体" w:cs="Arial"/>
          <w:sz w:val="24"/>
        </w:rPr>
        <w:t>浙江省隧道工程集团有限公司</w:t>
      </w:r>
    </w:p>
    <w:p>
      <w:pPr>
        <w:spacing w:line="440" w:lineRule="exact"/>
        <w:ind w:right="720" w:firstLine="200"/>
        <w:jc w:val="right"/>
        <w:rPr>
          <w:rFonts w:ascii="宋体" w:hAnsi="宋体" w:cs="Arial"/>
          <w:sz w:val="24"/>
        </w:rPr>
      </w:pPr>
      <w:r>
        <w:rPr>
          <w:rFonts w:hint="eastAsia" w:ascii="宋体" w:hAnsi="宋体" w:cs="Arial"/>
          <w:sz w:val="24"/>
        </w:rPr>
        <w:t>2023</w:t>
      </w:r>
      <w:r>
        <w:rPr>
          <w:rFonts w:ascii="宋体" w:hAnsi="宋体" w:cs="Arial"/>
          <w:sz w:val="24"/>
        </w:rPr>
        <w:t>年</w:t>
      </w:r>
      <w:r>
        <w:rPr>
          <w:rFonts w:hint="eastAsia" w:ascii="宋体" w:hAnsi="宋体" w:cs="Arial"/>
          <w:sz w:val="24"/>
          <w:lang w:val="en-US" w:eastAsia="zh-CN"/>
        </w:rPr>
        <w:t>8</w:t>
      </w:r>
      <w:r>
        <w:rPr>
          <w:rFonts w:ascii="宋体" w:hAnsi="宋体" w:cs="Arial"/>
          <w:sz w:val="24"/>
        </w:rPr>
        <w:t>月</w:t>
      </w:r>
      <w:r>
        <w:rPr>
          <w:rFonts w:hint="eastAsia" w:ascii="宋体" w:hAnsi="宋体" w:cs="Arial"/>
          <w:sz w:val="24"/>
          <w:lang w:val="en-US" w:eastAsia="zh-CN"/>
        </w:rPr>
        <w:t>25</w:t>
      </w:r>
      <w:r>
        <w:rPr>
          <w:rFonts w:ascii="宋体" w:hAnsi="宋体" w:cs="Arial"/>
          <w:sz w:val="24"/>
        </w:rPr>
        <w:t>日</w:t>
      </w:r>
    </w:p>
    <w:p>
      <w:pPr>
        <w:spacing w:line="500" w:lineRule="exact"/>
        <w:jc w:val="right"/>
        <w:rPr>
          <w:rFonts w:ascii="宋体" w:hAnsi="宋体" w:cs="Arial"/>
          <w:b/>
          <w:bCs/>
          <w:sz w:val="32"/>
          <w:szCs w:val="32"/>
        </w:rPr>
      </w:pPr>
    </w:p>
    <w:p>
      <w:pPr>
        <w:spacing w:line="380" w:lineRule="exact"/>
        <w:jc w:val="center"/>
        <w:rPr>
          <w:rFonts w:ascii="宋体" w:hAnsi="宋体" w:cs="Arial"/>
          <w:b/>
          <w:bCs/>
          <w:sz w:val="48"/>
        </w:rPr>
      </w:pPr>
      <w:r>
        <w:rPr>
          <w:rFonts w:ascii="宋体" w:hAnsi="宋体" w:cs="Arial"/>
          <w:b/>
          <w:bCs/>
          <w:sz w:val="48"/>
        </w:rPr>
        <w:br w:type="page"/>
      </w:r>
    </w:p>
    <w:p>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pPr>
        <w:snapToGrid w:val="0"/>
        <w:spacing w:line="360" w:lineRule="auto"/>
        <w:jc w:val="center"/>
        <w:rPr>
          <w:rFonts w:ascii="宋体" w:hAnsi="宋体" w:cs="Arial"/>
          <w:sz w:val="32"/>
          <w:szCs w:val="32"/>
        </w:rPr>
      </w:pPr>
      <w:r>
        <w:rPr>
          <w:rFonts w:hint="eastAsia" w:ascii="宋体" w:hAnsi="宋体" w:cs="Arial"/>
          <w:b/>
          <w:bCs/>
          <w:sz w:val="32"/>
          <w:szCs w:val="32"/>
        </w:rPr>
        <w:t>前</w:t>
      </w:r>
      <w:r>
        <w:rPr>
          <w:rFonts w:ascii="宋体" w:hAnsi="宋体" w:cs="Arial"/>
          <w:b/>
          <w:bCs/>
          <w:sz w:val="32"/>
          <w:szCs w:val="32"/>
        </w:rPr>
        <w:t>附表</w:t>
      </w:r>
    </w:p>
    <w:tbl>
      <w:tblPr>
        <w:tblStyle w:val="2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2"/>
        <w:gridCol w:w="8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vAlign w:val="center"/>
          </w:tcPr>
          <w:p>
            <w:pPr>
              <w:tabs>
                <w:tab w:val="left" w:pos="3780"/>
              </w:tabs>
              <w:snapToGrid w:val="0"/>
              <w:spacing w:before="120" w:beforeLines="50" w:line="360" w:lineRule="auto"/>
              <w:jc w:val="center"/>
              <w:rPr>
                <w:rFonts w:ascii="宋体" w:hAnsi="宋体" w:cs="Arial"/>
                <w:b/>
                <w:sz w:val="24"/>
              </w:rPr>
            </w:pPr>
            <w:r>
              <w:rPr>
                <w:rFonts w:ascii="宋体" w:hAnsi="宋体" w:cs="Arial"/>
                <w:b/>
                <w:sz w:val="24"/>
              </w:rPr>
              <w:t>条款</w:t>
            </w:r>
          </w:p>
        </w:tc>
        <w:tc>
          <w:tcPr>
            <w:tcW w:w="4539" w:type="pct"/>
            <w:tcBorders>
              <w:top w:val="single" w:color="000000" w:sz="4" w:space="0"/>
              <w:left w:val="single" w:color="auto" w:sz="4" w:space="0"/>
              <w:bottom w:val="single" w:color="000000" w:sz="4" w:space="0"/>
            </w:tcBorders>
            <w:vAlign w:val="center"/>
          </w:tcPr>
          <w:p>
            <w:pPr>
              <w:tabs>
                <w:tab w:val="left" w:pos="3780"/>
              </w:tabs>
              <w:snapToGrid w:val="0"/>
              <w:spacing w:before="120" w:beforeLines="50" w:line="360" w:lineRule="auto"/>
              <w:jc w:val="center"/>
              <w:rPr>
                <w:rFonts w:ascii="宋体" w:hAnsi="宋体" w:cs="Arial"/>
                <w:b/>
                <w:sz w:val="24"/>
              </w:rPr>
            </w:pPr>
            <w:r>
              <w:rPr>
                <w:rFonts w:ascii="宋体" w:hAnsi="宋体" w:cs="Arial"/>
                <w:b/>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1</w:t>
            </w:r>
          </w:p>
        </w:tc>
        <w:tc>
          <w:tcPr>
            <w:tcW w:w="4539" w:type="pct"/>
            <w:tcBorders>
              <w:top w:val="single" w:color="000000" w:sz="4" w:space="0"/>
              <w:left w:val="single" w:color="auto" w:sz="4" w:space="0"/>
              <w:bottom w:val="single" w:color="000000" w:sz="4" w:space="0"/>
            </w:tcBorders>
            <w:vAlign w:val="center"/>
          </w:tcPr>
          <w:p>
            <w:pPr>
              <w:pStyle w:val="11"/>
              <w:snapToGrid w:val="0"/>
              <w:spacing w:before="120" w:beforeLines="50" w:line="360" w:lineRule="auto"/>
              <w:rPr>
                <w:rFonts w:hAnsi="宋体" w:cs="Arial"/>
                <w:b/>
                <w:sz w:val="24"/>
              </w:rPr>
            </w:pPr>
            <w:r>
              <w:rPr>
                <w:rFonts w:hAnsi="宋体" w:cs="Arial"/>
                <w:b/>
                <w:sz w:val="24"/>
              </w:rPr>
              <w:t>项目说明：</w:t>
            </w:r>
          </w:p>
          <w:p>
            <w:pPr>
              <w:pStyle w:val="11"/>
              <w:snapToGrid w:val="0"/>
              <w:spacing w:before="120" w:beforeLines="50" w:line="360" w:lineRule="auto"/>
              <w:ind w:firstLine="482" w:firstLineChars="200"/>
              <w:rPr>
                <w:rFonts w:hAnsi="宋体" w:cs="Arial"/>
                <w:sz w:val="24"/>
              </w:rPr>
            </w:pPr>
            <w:r>
              <w:rPr>
                <w:rFonts w:hAnsi="宋体" w:cs="Arial"/>
                <w:b/>
                <w:sz w:val="24"/>
              </w:rPr>
              <w:t>一、项目名称</w:t>
            </w:r>
            <w:r>
              <w:rPr>
                <w:rFonts w:hAnsi="宋体" w:cs="Arial"/>
                <w:sz w:val="24"/>
              </w:rPr>
              <w:t>：</w:t>
            </w:r>
            <w:r>
              <w:rPr>
                <w:rFonts w:hint="eastAsia" w:hAnsi="宋体" w:cs="Arial"/>
                <w:sz w:val="24"/>
              </w:rPr>
              <w:t>扩大杭嘉湖南排后续西部通道（南北线）工程南段设计采购施工（E</w:t>
            </w:r>
            <w:r>
              <w:rPr>
                <w:rFonts w:hAnsi="宋体" w:cs="Arial"/>
                <w:sz w:val="24"/>
              </w:rPr>
              <w:t>PC</w:t>
            </w:r>
            <w:r>
              <w:rPr>
                <w:rFonts w:hint="eastAsia" w:hAnsi="宋体" w:cs="Arial"/>
                <w:sz w:val="24"/>
              </w:rPr>
              <w:t>）总承包。</w:t>
            </w:r>
          </w:p>
          <w:p>
            <w:pPr>
              <w:pStyle w:val="11"/>
              <w:snapToGrid w:val="0"/>
              <w:spacing w:before="120" w:beforeLines="50" w:line="360" w:lineRule="auto"/>
              <w:ind w:firstLine="482" w:firstLineChars="200"/>
              <w:rPr>
                <w:rFonts w:hAnsi="宋体" w:cs="Arial"/>
                <w:sz w:val="24"/>
              </w:rPr>
            </w:pPr>
            <w:r>
              <w:rPr>
                <w:rFonts w:hAnsi="宋体" w:cs="Arial"/>
                <w:b/>
                <w:sz w:val="24"/>
              </w:rPr>
              <w:t>二、实施地点：</w:t>
            </w:r>
            <w:r>
              <w:rPr>
                <w:rFonts w:hint="eastAsia" w:hAnsi="宋体" w:cs="Arial"/>
                <w:sz w:val="24"/>
              </w:rPr>
              <w:t>杭州市西湖区留下街道。</w:t>
            </w:r>
          </w:p>
          <w:p>
            <w:pPr>
              <w:pStyle w:val="6"/>
              <w:snapToGrid w:val="0"/>
              <w:spacing w:before="120" w:beforeLines="50" w:line="360" w:lineRule="auto"/>
              <w:ind w:firstLine="472"/>
              <w:rPr>
                <w:rFonts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“采购招标需求和服务要求”。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2</w:t>
            </w:r>
          </w:p>
        </w:tc>
        <w:tc>
          <w:tcPr>
            <w:tcW w:w="4539" w:type="pct"/>
            <w:tcBorders>
              <w:top w:val="single" w:color="000000" w:sz="4" w:space="0"/>
              <w:left w:val="single" w:color="000000" w:sz="4" w:space="0"/>
              <w:bottom w:val="single" w:color="000000" w:sz="4" w:space="0"/>
              <w:right w:val="single" w:color="000000" w:sz="4" w:space="0"/>
            </w:tcBorders>
            <w:vAlign w:val="center"/>
          </w:tcPr>
          <w:p>
            <w:pPr>
              <w:pStyle w:val="11"/>
              <w:snapToGrid w:val="0"/>
              <w:spacing w:before="120" w:beforeLines="50" w:line="360" w:lineRule="auto"/>
              <w:rPr>
                <w:rFonts w:hAnsi="宋体" w:cs="Arial"/>
                <w:sz w:val="24"/>
              </w:rPr>
            </w:pPr>
            <w:r>
              <w:rPr>
                <w:rFonts w:hAnsi="宋体" w:cs="Arial"/>
                <w:b/>
                <w:bCs/>
                <w:sz w:val="24"/>
              </w:rPr>
              <w:t>合同名称：</w:t>
            </w:r>
            <w:r>
              <w:rPr>
                <w:rFonts w:hAnsi="宋体" w:cs="Arial"/>
                <w:sz w:val="24"/>
              </w:rPr>
              <w:t>《</w:t>
            </w:r>
            <w:r>
              <w:rPr>
                <w:rFonts w:hint="eastAsia" w:hAnsi="宋体" w:cs="宋体"/>
                <w:sz w:val="24"/>
                <w:szCs w:val="24"/>
              </w:rPr>
              <w:t>浙江省隧道工程集团有限公司</w:t>
            </w:r>
            <w:r>
              <w:rPr>
                <w:rFonts w:hint="eastAsia" w:hAnsi="宋体" w:cs="宋体"/>
                <w:sz w:val="24"/>
                <w:szCs w:val="24"/>
                <w:lang w:val="en-US" w:eastAsia="zh-CN"/>
              </w:rPr>
              <w:t>南排项目水泥</w:t>
            </w:r>
            <w:r>
              <w:rPr>
                <w:rFonts w:hint="eastAsia" w:hAnsi="宋体" w:cs="宋体"/>
                <w:sz w:val="24"/>
                <w:szCs w:val="24"/>
              </w:rPr>
              <w:t>采购</w:t>
            </w:r>
            <w:r>
              <w:rPr>
                <w:rFonts w:hAnsi="宋体" w:cs="Arial"/>
                <w:sz w:val="24"/>
              </w:rPr>
              <w:t>合同</w:t>
            </w:r>
            <w:r>
              <w:rPr>
                <w:rFonts w:hAnsi="宋体" w:cs="Arial"/>
                <w:sz w:val="24"/>
                <w:lang w:val="zh-CN"/>
              </w:rPr>
              <w:t>》</w:t>
            </w:r>
            <w:r>
              <w:rPr>
                <w:rFonts w:hint="eastAsia" w:hAnsi="宋体" w:cs="Arial"/>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3</w:t>
            </w:r>
          </w:p>
        </w:tc>
        <w:tc>
          <w:tcPr>
            <w:tcW w:w="4539" w:type="pct"/>
            <w:tcBorders>
              <w:top w:val="single" w:color="000000" w:sz="4" w:space="0"/>
              <w:left w:val="single" w:color="000000" w:sz="4" w:space="0"/>
              <w:bottom w:val="single" w:color="000000" w:sz="4" w:space="0"/>
              <w:right w:val="single" w:color="000000" w:sz="4" w:space="0"/>
            </w:tcBorders>
            <w:vAlign w:val="center"/>
          </w:tcPr>
          <w:p>
            <w:pPr>
              <w:pStyle w:val="11"/>
              <w:snapToGrid w:val="0"/>
              <w:spacing w:before="120" w:beforeLines="50" w:line="360" w:lineRule="auto"/>
              <w:rPr>
                <w:rFonts w:hAnsi="宋体" w:cs="Arial"/>
                <w:sz w:val="24"/>
              </w:rPr>
            </w:pPr>
            <w:r>
              <w:rPr>
                <w:rFonts w:hAnsi="宋体" w:cs="Arial"/>
                <w:b/>
                <w:sz w:val="24"/>
              </w:rPr>
              <w:t>投标有效期：</w:t>
            </w:r>
            <w:r>
              <w:rPr>
                <w:rFonts w:hAnsi="宋体" w:cs="Arial"/>
                <w:sz w:val="24"/>
              </w:rPr>
              <w:t>自投标截止日起</w:t>
            </w:r>
            <w:r>
              <w:rPr>
                <w:rFonts w:hint="eastAsia" w:hAnsi="宋体" w:cs="Arial"/>
                <w:sz w:val="24"/>
              </w:rPr>
              <w:t>3</w:t>
            </w:r>
            <w:r>
              <w:rPr>
                <w:rFonts w:hAnsi="宋体" w:cs="Arial"/>
                <w:sz w:val="24"/>
              </w:rPr>
              <w:t>0天。如</w:t>
            </w:r>
            <w:r>
              <w:rPr>
                <w:rFonts w:hint="eastAsia" w:hAnsi="宋体" w:cs="Arial"/>
                <w:sz w:val="24"/>
              </w:rPr>
              <w:t>招标人</w:t>
            </w:r>
            <w:r>
              <w:rPr>
                <w:rFonts w:hAnsi="宋体" w:cs="Arial"/>
                <w:sz w:val="24"/>
              </w:rPr>
              <w:t>认为必要，可延长总计最长不超过</w:t>
            </w:r>
            <w:r>
              <w:rPr>
                <w:rFonts w:hint="eastAsia" w:hAnsi="宋体" w:cs="Arial"/>
                <w:sz w:val="24"/>
              </w:rPr>
              <w:t>6</w:t>
            </w:r>
            <w:r>
              <w:rPr>
                <w:rFonts w:hAnsi="宋体" w:cs="Arial"/>
                <w:sz w:val="24"/>
              </w:rPr>
              <w:t>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4</w:t>
            </w:r>
          </w:p>
        </w:tc>
        <w:tc>
          <w:tcPr>
            <w:tcW w:w="4539" w:type="pct"/>
            <w:tcBorders>
              <w:top w:val="single" w:color="000000" w:sz="4" w:space="0"/>
              <w:left w:val="single" w:color="000000" w:sz="4" w:space="0"/>
              <w:bottom w:val="single" w:color="000000" w:sz="4" w:space="0"/>
            </w:tcBorders>
            <w:vAlign w:val="center"/>
          </w:tcPr>
          <w:p>
            <w:pPr>
              <w:pStyle w:val="11"/>
              <w:snapToGrid w:val="0"/>
              <w:spacing w:before="120" w:beforeLines="50" w:line="360" w:lineRule="auto"/>
              <w:rPr>
                <w:rFonts w:hAnsi="宋体" w:cs="Arial"/>
                <w:sz w:val="24"/>
              </w:rPr>
            </w:pPr>
            <w:r>
              <w:rPr>
                <w:rFonts w:hAnsi="宋体" w:cs="Arial"/>
                <w:b/>
                <w:sz w:val="24"/>
              </w:rPr>
              <w:t>投标保证金：</w:t>
            </w:r>
            <w:r>
              <w:rPr>
                <w:rFonts w:hint="eastAsia" w:hAnsi="宋体" w:cs="Arial"/>
                <w:sz w:val="24"/>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5</w:t>
            </w:r>
          </w:p>
        </w:tc>
        <w:tc>
          <w:tcPr>
            <w:tcW w:w="4539" w:type="pct"/>
            <w:tcBorders>
              <w:top w:val="single" w:color="000000" w:sz="4" w:space="0"/>
              <w:left w:val="single" w:color="000000" w:sz="4" w:space="0"/>
              <w:bottom w:val="single" w:color="000000" w:sz="4" w:space="0"/>
            </w:tcBorders>
            <w:vAlign w:val="center"/>
          </w:tcPr>
          <w:p>
            <w:pPr>
              <w:pStyle w:val="11"/>
              <w:snapToGrid w:val="0"/>
              <w:spacing w:before="120"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int="eastAsia" w:hAnsi="宋体" w:cs="Arial"/>
                <w:sz w:val="24"/>
                <w:szCs w:val="24"/>
              </w:rPr>
              <w:t>柒</w:t>
            </w:r>
            <w:r>
              <w:rPr>
                <w:rFonts w:hAnsi="宋体" w:cs="Arial"/>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6</w:t>
            </w:r>
          </w:p>
        </w:tc>
        <w:tc>
          <w:tcPr>
            <w:tcW w:w="4539" w:type="pct"/>
            <w:tcBorders>
              <w:top w:val="single" w:color="000000" w:sz="4" w:space="0"/>
              <w:left w:val="single" w:color="000000" w:sz="4" w:space="0"/>
              <w:bottom w:val="single" w:color="000000" w:sz="4" w:space="0"/>
            </w:tcBorders>
            <w:vAlign w:val="center"/>
          </w:tcPr>
          <w:p>
            <w:pPr>
              <w:pStyle w:val="11"/>
              <w:snapToGrid w:val="0"/>
              <w:spacing w:before="120"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7</w:t>
            </w:r>
          </w:p>
        </w:tc>
        <w:tc>
          <w:tcPr>
            <w:tcW w:w="4539" w:type="pct"/>
            <w:tcBorders>
              <w:top w:val="single" w:color="000000" w:sz="4" w:space="0"/>
              <w:left w:val="single" w:color="000000" w:sz="4" w:space="0"/>
              <w:bottom w:val="single" w:color="000000" w:sz="4" w:space="0"/>
            </w:tcBorders>
            <w:vAlign w:val="center"/>
          </w:tcPr>
          <w:p>
            <w:pPr>
              <w:pStyle w:val="11"/>
              <w:snapToGrid w:val="0"/>
              <w:spacing w:before="120" w:beforeLines="50" w:line="360" w:lineRule="auto"/>
              <w:rPr>
                <w:rFonts w:hAnsi="宋体" w:cs="Arial"/>
                <w:sz w:val="24"/>
              </w:rPr>
            </w:pPr>
            <w:r>
              <w:rPr>
                <w:rFonts w:hint="eastAsia" w:hAnsi="宋体" w:cs="Arial"/>
                <w:b/>
                <w:bCs/>
                <w:sz w:val="24"/>
              </w:rPr>
              <w:t>开标时间及地点：</w:t>
            </w:r>
            <w:r>
              <w:rPr>
                <w:rFonts w:hint="eastAsia" w:hAnsi="宋体" w:cs="Arial"/>
                <w:sz w:val="24"/>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8</w:t>
            </w:r>
          </w:p>
        </w:tc>
        <w:tc>
          <w:tcPr>
            <w:tcW w:w="4539" w:type="pct"/>
            <w:tcBorders>
              <w:top w:val="single" w:color="000000" w:sz="4" w:space="0"/>
              <w:left w:val="single" w:color="000000" w:sz="4" w:space="0"/>
              <w:bottom w:val="single" w:color="000000" w:sz="4" w:space="0"/>
            </w:tcBorders>
            <w:vAlign w:val="center"/>
          </w:tcPr>
          <w:p>
            <w:pPr>
              <w:pStyle w:val="6"/>
              <w:snapToGrid w:val="0"/>
              <w:spacing w:before="120"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hint="eastAsia" w:ascii="宋体" w:hAnsi="宋体" w:cs="Arial"/>
                <w:sz w:val="24"/>
              </w:rPr>
              <w:t>9</w:t>
            </w:r>
          </w:p>
        </w:tc>
        <w:tc>
          <w:tcPr>
            <w:tcW w:w="4539" w:type="pct"/>
            <w:tcBorders>
              <w:top w:val="single" w:color="000000" w:sz="4" w:space="0"/>
              <w:left w:val="single" w:color="000000" w:sz="4" w:space="0"/>
              <w:bottom w:val="single" w:color="000000" w:sz="4" w:space="0"/>
            </w:tcBorders>
            <w:vAlign w:val="center"/>
          </w:tcPr>
          <w:p>
            <w:pPr>
              <w:pStyle w:val="6"/>
              <w:snapToGrid w:val="0"/>
              <w:spacing w:before="120" w:beforeLines="50" w:line="360" w:lineRule="auto"/>
              <w:ind w:firstLine="0"/>
              <w:rPr>
                <w:rFonts w:ascii="宋体" w:hAnsi="宋体" w:cs="Arial"/>
                <w:b/>
                <w:sz w:val="24"/>
                <w:szCs w:val="24"/>
              </w:rPr>
            </w:pPr>
            <w:r>
              <w:rPr>
                <w:rFonts w:hint="eastAsia" w:ascii="宋体" w:hAnsi="宋体" w:cs="Arial"/>
                <w:b/>
                <w:sz w:val="24"/>
                <w:szCs w:val="24"/>
              </w:rPr>
              <w:t>最高限价</w:t>
            </w:r>
            <w:r>
              <w:rPr>
                <w:rFonts w:ascii="宋体" w:hAnsi="宋体" w:cs="Arial"/>
                <w:b/>
                <w:sz w:val="24"/>
                <w:szCs w:val="24"/>
              </w:rPr>
              <w:t>：</w:t>
            </w:r>
            <w:r>
              <w:rPr>
                <w:rFonts w:hint="eastAsia" w:ascii="宋体" w:hAnsi="宋体" w:cs="Arial"/>
                <w:sz w:val="24"/>
                <w:lang w:val="zh-CN"/>
              </w:rPr>
              <w:t>本项目</w:t>
            </w:r>
            <w:r>
              <w:rPr>
                <w:rFonts w:hint="eastAsia" w:ascii="宋体" w:hAnsi="宋体" w:cs="Arial"/>
                <w:sz w:val="24"/>
              </w:rPr>
              <w:t>不设</w:t>
            </w:r>
            <w:r>
              <w:rPr>
                <w:rFonts w:hint="eastAsia" w:ascii="宋体" w:hAnsi="宋体" w:cs="Arial"/>
                <w:sz w:val="24"/>
                <w:lang w:val="zh-CN"/>
              </w:rPr>
              <w:t>最高限价。</w:t>
            </w:r>
          </w:p>
        </w:tc>
      </w:tr>
    </w:tbl>
    <w:p>
      <w:pPr>
        <w:spacing w:line="460" w:lineRule="exact"/>
        <w:jc w:val="center"/>
        <w:rPr>
          <w:rFonts w:ascii="宋体" w:hAnsi="宋体" w:cs="Arial"/>
          <w:b/>
          <w:sz w:val="32"/>
          <w:szCs w:val="32"/>
        </w:rPr>
      </w:pPr>
      <w:bookmarkStart w:id="1" w:name="_Hlt74729822"/>
      <w:bookmarkEnd w:id="1"/>
      <w:bookmarkStart w:id="2" w:name="_Hlt74649545"/>
      <w:bookmarkEnd w:id="2"/>
      <w:bookmarkStart w:id="3" w:name="_Toc91899871"/>
      <w:r>
        <w:rPr>
          <w:rFonts w:ascii="宋体" w:hAnsi="宋体" w:cs="Arial"/>
          <w:b/>
          <w:sz w:val="32"/>
          <w:szCs w:val="32"/>
        </w:rPr>
        <w:br w:type="page"/>
      </w:r>
    </w:p>
    <w:p>
      <w:pPr>
        <w:spacing w:line="460" w:lineRule="exact"/>
        <w:jc w:val="center"/>
        <w:rPr>
          <w:rFonts w:ascii="宋体" w:hAnsi="宋体" w:cs="Arial"/>
          <w:b/>
          <w:sz w:val="32"/>
          <w:szCs w:val="32"/>
        </w:rPr>
      </w:pPr>
      <w:r>
        <w:rPr>
          <w:rFonts w:ascii="宋体" w:hAnsi="宋体" w:cs="Arial"/>
          <w:b/>
          <w:sz w:val="32"/>
          <w:szCs w:val="32"/>
        </w:rPr>
        <w:t>一、总则</w:t>
      </w:r>
      <w:bookmarkEnd w:id="3"/>
    </w:p>
    <w:p>
      <w:pPr>
        <w:pStyle w:val="11"/>
        <w:spacing w:line="460" w:lineRule="exact"/>
        <w:rPr>
          <w:rFonts w:hAnsi="宋体" w:cs="Arial"/>
          <w:b/>
          <w:sz w:val="24"/>
          <w:szCs w:val="24"/>
        </w:rPr>
      </w:pPr>
      <w:bookmarkStart w:id="4" w:name="_Hlt74714665"/>
      <w:bookmarkEnd w:id="4"/>
      <w:bookmarkStart w:id="5" w:name="_Hlt74730295"/>
      <w:bookmarkEnd w:id="5"/>
      <w:bookmarkStart w:id="6" w:name="_Toc91899872"/>
      <w:bookmarkStart w:id="7" w:name="_Hlt74730112"/>
      <w:bookmarkStart w:id="8" w:name="_Hlt74730208"/>
      <w:r>
        <w:rPr>
          <w:rFonts w:hAnsi="宋体" w:cs="Arial"/>
          <w:b/>
          <w:sz w:val="24"/>
          <w:szCs w:val="24"/>
        </w:rPr>
        <w:t>1．项目说明</w:t>
      </w:r>
      <w:bookmarkEnd w:id="6"/>
    </w:p>
    <w:p>
      <w:pPr>
        <w:pStyle w:val="41"/>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项目说明见投标须知前附表(以下称“前附表”)第1项所述。</w:t>
      </w:r>
    </w:p>
    <w:p>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w:t>
      </w:r>
      <w:r>
        <w:rPr>
          <w:rFonts w:hint="eastAsia" w:ascii="宋体" w:hAnsi="宋体" w:cs="Arial"/>
          <w:sz w:val="24"/>
        </w:rPr>
        <w:t>若</w:t>
      </w:r>
      <w:r>
        <w:rPr>
          <w:rFonts w:ascii="宋体" w:hAnsi="宋体" w:cs="Arial"/>
          <w:sz w:val="24"/>
        </w:rPr>
        <w:t>发生窃、泄密事件</w:t>
      </w:r>
      <w:r>
        <w:rPr>
          <w:rFonts w:hint="eastAsia" w:ascii="宋体" w:hAnsi="宋体" w:cs="Arial"/>
          <w:sz w:val="24"/>
        </w:rPr>
        <w:t>，</w:t>
      </w:r>
      <w:r>
        <w:rPr>
          <w:rFonts w:ascii="宋体" w:hAnsi="宋体" w:cs="Arial"/>
          <w:sz w:val="24"/>
        </w:rPr>
        <w:t>潜在投标人应承担相应的法律责任。</w:t>
      </w:r>
    </w:p>
    <w:p>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投标人一旦参与本次投标活动，即被视为接受了本招标文件的所有内容，如有任何异议，均应在答疑截止时间前提出。</w:t>
      </w:r>
    </w:p>
    <w:p>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pPr>
        <w:pStyle w:val="11"/>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pPr>
        <w:tabs>
          <w:tab w:val="left" w:pos="3780"/>
        </w:tabs>
        <w:spacing w:line="460" w:lineRule="exact"/>
        <w:ind w:firstLine="480" w:firstLineChars="200"/>
        <w:rPr>
          <w:rFonts w:ascii="宋体" w:hAnsi="宋体" w:cs="Arial"/>
          <w:sz w:val="24"/>
        </w:rPr>
      </w:pPr>
      <w:r>
        <w:rPr>
          <w:rFonts w:hint="eastAsia" w:ascii="宋体" w:hAnsi="宋体" w:cs="Arial"/>
          <w:sz w:val="24"/>
        </w:rPr>
        <w:t>邀请</w:t>
      </w:r>
      <w:r>
        <w:rPr>
          <w:rFonts w:ascii="宋体" w:hAnsi="宋体" w:cs="Arial"/>
          <w:sz w:val="24"/>
        </w:rPr>
        <w:t>招标。</w:t>
      </w:r>
    </w:p>
    <w:p>
      <w:pPr>
        <w:pStyle w:val="11"/>
        <w:spacing w:line="460" w:lineRule="exact"/>
        <w:rPr>
          <w:rFonts w:hAnsi="宋体" w:cs="Arial"/>
          <w:b/>
          <w:sz w:val="24"/>
          <w:szCs w:val="24"/>
        </w:rPr>
      </w:pPr>
      <w:bookmarkStart w:id="10" w:name="_Hlt74730301"/>
      <w:bookmarkStart w:id="11"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pPr>
        <w:pStyle w:val="11"/>
        <w:spacing w:line="460" w:lineRule="exact"/>
        <w:ind w:firstLine="480" w:firstLineChars="200"/>
        <w:rPr>
          <w:rFonts w:hAnsi="宋体"/>
          <w:kern w:val="2"/>
          <w:sz w:val="24"/>
        </w:rPr>
      </w:pPr>
      <w:bookmarkStart w:id="12" w:name="_Hlt74730303"/>
      <w:bookmarkStart w:id="13" w:name="_Toc91899877"/>
      <w:r>
        <w:rPr>
          <w:rFonts w:hint="eastAsia" w:hAnsi="宋体"/>
          <w:kern w:val="2"/>
          <w:sz w:val="24"/>
        </w:rPr>
        <w:t>需具有相应的资质。</w:t>
      </w:r>
    </w:p>
    <w:p>
      <w:pPr>
        <w:pStyle w:val="11"/>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pPr>
        <w:autoSpaceDE w:val="0"/>
        <w:autoSpaceDN w:val="0"/>
        <w:adjustRightInd w:val="0"/>
        <w:spacing w:line="460" w:lineRule="exact"/>
        <w:ind w:firstLine="523" w:firstLineChars="218"/>
        <w:rPr>
          <w:rFonts w:ascii="宋体" w:hAnsi="宋体" w:cs="Arial"/>
          <w:sz w:val="24"/>
          <w:lang w:val="zh-CN"/>
        </w:rPr>
      </w:pPr>
    </w:p>
    <w:p>
      <w:pPr>
        <w:spacing w:line="460" w:lineRule="exact"/>
        <w:jc w:val="center"/>
        <w:rPr>
          <w:rFonts w:ascii="宋体" w:hAnsi="宋体" w:cs="Arial"/>
          <w:b/>
          <w:sz w:val="32"/>
        </w:rPr>
      </w:pPr>
      <w:bookmarkStart w:id="14" w:name="_Hlt68057669"/>
      <w:bookmarkEnd w:id="14"/>
      <w:bookmarkStart w:id="15" w:name="_Hlt74707468"/>
      <w:bookmarkEnd w:id="15"/>
      <w:bookmarkStart w:id="16" w:name="_Hlt68072990"/>
      <w:bookmarkEnd w:id="16"/>
      <w:bookmarkStart w:id="17" w:name="_Hlt75236290"/>
      <w:bookmarkEnd w:id="17"/>
      <w:bookmarkStart w:id="18" w:name="_Hlt74729768"/>
      <w:bookmarkEnd w:id="18"/>
      <w:bookmarkStart w:id="19" w:name="_Toc91899879"/>
      <w:r>
        <w:rPr>
          <w:rFonts w:ascii="宋体" w:hAnsi="宋体" w:cs="Arial"/>
          <w:b/>
          <w:sz w:val="32"/>
        </w:rPr>
        <w:t>二、招标文件</w:t>
      </w:r>
      <w:bookmarkEnd w:id="19"/>
    </w:p>
    <w:p>
      <w:pPr>
        <w:pStyle w:val="11"/>
        <w:spacing w:line="460" w:lineRule="exact"/>
        <w:rPr>
          <w:rFonts w:hAnsi="宋体" w:cs="Arial"/>
          <w:b/>
          <w:sz w:val="24"/>
          <w:szCs w:val="24"/>
        </w:rPr>
      </w:pPr>
      <w:bookmarkStart w:id="20" w:name="_Hlt74730307"/>
      <w:bookmarkStart w:id="21" w:name="_Toc91899880"/>
      <w:r>
        <w:rPr>
          <w:rFonts w:hAnsi="宋体" w:cs="Arial"/>
          <w:b/>
          <w:sz w:val="24"/>
          <w:szCs w:val="24"/>
        </w:rPr>
        <w:t>5．</w:t>
      </w:r>
      <w:bookmarkEnd w:id="20"/>
      <w:bookmarkEnd w:id="21"/>
      <w:r>
        <w:rPr>
          <w:rFonts w:hAnsi="宋体" w:cs="Arial"/>
          <w:b/>
          <w:sz w:val="24"/>
          <w:szCs w:val="24"/>
        </w:rPr>
        <w:t>招标文件的构成</w:t>
      </w:r>
    </w:p>
    <w:p>
      <w:pPr>
        <w:pStyle w:val="11"/>
        <w:spacing w:line="460" w:lineRule="exact"/>
        <w:ind w:firstLine="480" w:firstLineChars="200"/>
        <w:rPr>
          <w:rFonts w:hAnsi="宋体" w:cs="Arial"/>
          <w:sz w:val="24"/>
          <w:szCs w:val="24"/>
        </w:rPr>
      </w:pPr>
      <w:r>
        <w:rPr>
          <w:rFonts w:hAnsi="宋体" w:cs="Arial"/>
          <w:sz w:val="24"/>
          <w:szCs w:val="24"/>
        </w:rPr>
        <w:t>5.1 招标文件包括下列文件及附件</w:t>
      </w:r>
    </w:p>
    <w:p>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rPr>
        <w:t>投标邀请函</w:t>
      </w:r>
    </w:p>
    <w:p>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pPr>
        <w:pStyle w:val="11"/>
        <w:spacing w:line="46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w:t>
      </w:r>
      <w:r>
        <w:rPr>
          <w:rFonts w:hint="eastAsia" w:hAnsi="宋体" w:cs="Arial"/>
          <w:sz w:val="24"/>
          <w:szCs w:val="24"/>
        </w:rPr>
        <w:t>否决</w:t>
      </w:r>
      <w:r>
        <w:rPr>
          <w:rFonts w:hAnsi="宋体" w:cs="Arial"/>
          <w:sz w:val="24"/>
          <w:szCs w:val="24"/>
        </w:rPr>
        <w:t>。</w:t>
      </w:r>
    </w:p>
    <w:p>
      <w:pPr>
        <w:pStyle w:val="11"/>
        <w:spacing w:line="460" w:lineRule="exact"/>
        <w:rPr>
          <w:rFonts w:hAnsi="宋体" w:cs="Arial"/>
          <w:b/>
          <w:sz w:val="24"/>
          <w:szCs w:val="24"/>
        </w:rPr>
      </w:pPr>
      <w:r>
        <w:rPr>
          <w:rFonts w:hAnsi="宋体" w:cs="Arial"/>
          <w:b/>
          <w:sz w:val="24"/>
          <w:szCs w:val="24"/>
        </w:rPr>
        <w:t>6.招标文件的解释</w:t>
      </w:r>
    </w:p>
    <w:p>
      <w:pPr>
        <w:pStyle w:val="41"/>
        <w:spacing w:before="0" w:line="460" w:lineRule="exact"/>
        <w:ind w:firstLine="480"/>
        <w:rPr>
          <w:rFonts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pPr>
        <w:pStyle w:val="41"/>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招标文件发出之日起2天内</w:t>
      </w:r>
      <w:r>
        <w:rPr>
          <w:rFonts w:ascii="宋体" w:hAnsi="宋体" w:cs="Arial"/>
          <w:kern w:val="0"/>
          <w:szCs w:val="24"/>
        </w:rPr>
        <w:t>以书面或邮件形式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将以书面解答或邮件形式通知所有</w:t>
      </w:r>
      <w:r>
        <w:rPr>
          <w:rFonts w:hint="eastAsia" w:ascii="宋体" w:hAnsi="宋体" w:cs="Arial"/>
          <w:kern w:val="0"/>
          <w:szCs w:val="24"/>
        </w:rPr>
        <w:t>投标人</w:t>
      </w:r>
      <w:r>
        <w:rPr>
          <w:rFonts w:ascii="宋体" w:hAnsi="宋体" w:cs="Arial"/>
          <w:kern w:val="0"/>
          <w:szCs w:val="24"/>
        </w:rPr>
        <w:t>或组织标前会答疑。</w:t>
      </w:r>
    </w:p>
    <w:p>
      <w:pPr>
        <w:pStyle w:val="41"/>
        <w:spacing w:before="0" w:line="460" w:lineRule="exact"/>
        <w:ind w:firstLine="480"/>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向投标人发送的资料文件，还是投标人提出的问题，采用书面或邮件形式，任何口头提问及答</w:t>
      </w:r>
      <w:r>
        <w:rPr>
          <w:rFonts w:ascii="宋体" w:hAnsi="宋体" w:cs="Arial"/>
        </w:rPr>
        <w:t>复一律无效。</w:t>
      </w:r>
    </w:p>
    <w:p>
      <w:pPr>
        <w:pStyle w:val="11"/>
        <w:spacing w:line="460" w:lineRule="exact"/>
        <w:rPr>
          <w:rFonts w:hAnsi="宋体" w:cs="Arial"/>
          <w:b/>
          <w:sz w:val="24"/>
          <w:szCs w:val="24"/>
        </w:rPr>
      </w:pPr>
      <w:r>
        <w:rPr>
          <w:rFonts w:hAnsi="宋体" w:cs="Arial"/>
          <w:b/>
          <w:sz w:val="24"/>
          <w:szCs w:val="24"/>
        </w:rPr>
        <w:t>7.招标文件的修改</w:t>
      </w:r>
    </w:p>
    <w:p>
      <w:pPr>
        <w:pStyle w:val="41"/>
        <w:spacing w:before="0"/>
        <w:ind w:firstLine="480"/>
        <w:rPr>
          <w:rFonts w:ascii="宋体" w:hAnsi="宋体" w:cs="Arial"/>
        </w:rPr>
      </w:pPr>
      <w:r>
        <w:rPr>
          <w:rFonts w:ascii="宋体" w:hAnsi="宋体" w:cs="Arial"/>
          <w:szCs w:val="24"/>
        </w:rPr>
        <w:t>7.1 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w:t>
      </w:r>
      <w:r>
        <w:rPr>
          <w:rFonts w:hint="eastAsia" w:ascii="宋体" w:hAnsi="宋体" w:cs="Arial"/>
          <w:szCs w:val="24"/>
        </w:rPr>
        <w:t>或邮件</w:t>
      </w:r>
      <w:r>
        <w:rPr>
          <w:rFonts w:ascii="宋体" w:hAnsi="宋体" w:cs="Arial"/>
          <w:szCs w:val="24"/>
        </w:rPr>
        <w:t>形式同时发给所有招标文件的收受人</w:t>
      </w:r>
      <w:r>
        <w:rPr>
          <w:rFonts w:ascii="宋体" w:hAnsi="宋体" w:cs="Arial"/>
        </w:rPr>
        <w:t>。</w:t>
      </w:r>
    </w:p>
    <w:p>
      <w:pPr>
        <w:pStyle w:val="41"/>
        <w:spacing w:before="0"/>
        <w:ind w:firstLine="480"/>
        <w:rPr>
          <w:rFonts w:ascii="宋体" w:hAnsi="宋体" w:cs="Arial"/>
          <w:szCs w:val="24"/>
        </w:rPr>
      </w:pPr>
      <w:r>
        <w:rPr>
          <w:rFonts w:ascii="宋体" w:hAnsi="宋体" w:cs="Arial"/>
          <w:szCs w:val="24"/>
        </w:rPr>
        <w:t>7.2 若有必要，</w:t>
      </w:r>
      <w:r>
        <w:rPr>
          <w:rFonts w:hint="eastAsia" w:ascii="宋体" w:hAnsi="宋体" w:cs="Arial"/>
        </w:rPr>
        <w:t>招标人</w:t>
      </w:r>
      <w:r>
        <w:rPr>
          <w:rFonts w:ascii="宋体" w:hAnsi="宋体" w:cs="Arial"/>
          <w:szCs w:val="24"/>
        </w:rPr>
        <w:t>将酌情延迟递交投标文件的截止日期。</w:t>
      </w:r>
    </w:p>
    <w:p>
      <w:pPr>
        <w:pStyle w:val="11"/>
        <w:spacing w:line="360" w:lineRule="auto"/>
        <w:rPr>
          <w:rFonts w:hAnsi="宋体" w:cs="Arial"/>
          <w:b/>
          <w:sz w:val="24"/>
          <w:szCs w:val="24"/>
        </w:rPr>
      </w:pPr>
      <w:r>
        <w:rPr>
          <w:rFonts w:hAnsi="宋体" w:cs="Arial"/>
          <w:b/>
          <w:sz w:val="24"/>
          <w:szCs w:val="24"/>
        </w:rPr>
        <w:t>8.投标报价</w:t>
      </w:r>
    </w:p>
    <w:p>
      <w:pPr>
        <w:pStyle w:val="11"/>
        <w:keepNext w:val="0"/>
        <w:keepLines w:val="0"/>
        <w:pageBreakBefore w:val="0"/>
        <w:kinsoku/>
        <w:wordWrap/>
        <w:topLinePunct w:val="0"/>
        <w:bidi w:val="0"/>
        <w:spacing w:line="360" w:lineRule="auto"/>
        <w:ind w:firstLine="482"/>
        <w:rPr>
          <w:rFonts w:hAnsi="宋体" w:cs="Arial"/>
          <w:sz w:val="24"/>
        </w:rPr>
      </w:pPr>
      <w:r>
        <w:rPr>
          <w:rFonts w:hAnsi="宋体" w:cs="Arial"/>
          <w:sz w:val="24"/>
        </w:rPr>
        <w:t>8.1 标的物</w:t>
      </w:r>
    </w:p>
    <w:p>
      <w:pPr>
        <w:pStyle w:val="11"/>
        <w:keepNext w:val="0"/>
        <w:keepLines w:val="0"/>
        <w:pageBreakBefore w:val="0"/>
        <w:kinsoku/>
        <w:wordWrap/>
        <w:topLinePunct w:val="0"/>
        <w:bidi w:val="0"/>
        <w:snapToGrid w:val="0"/>
        <w:spacing w:line="360" w:lineRule="auto"/>
        <w:ind w:firstLine="482"/>
        <w:rPr>
          <w:rFonts w:hAnsi="宋体" w:cs="Arial"/>
          <w:sz w:val="24"/>
          <w:lang w:val="zh-CN"/>
        </w:rPr>
      </w:pPr>
      <w:r>
        <w:rPr>
          <w:rFonts w:hint="eastAsia" w:hAnsi="宋体" w:cs="Arial"/>
          <w:sz w:val="24"/>
        </w:rPr>
        <w:t>浙江省隧道工程集团有限公司扩大杭嘉湖南排后续西部通道（南北线）工程南段设计采购施工（E</w:t>
      </w:r>
      <w:r>
        <w:rPr>
          <w:rFonts w:hAnsi="宋体" w:cs="Arial"/>
          <w:sz w:val="24"/>
        </w:rPr>
        <w:t>PC</w:t>
      </w:r>
      <w:r>
        <w:rPr>
          <w:rFonts w:hint="eastAsia" w:hAnsi="宋体" w:cs="Arial"/>
          <w:sz w:val="24"/>
        </w:rPr>
        <w:t>）总承包</w:t>
      </w:r>
      <w:r>
        <w:rPr>
          <w:rFonts w:hint="eastAsia"/>
          <w:sz w:val="24"/>
          <w:szCs w:val="24"/>
          <w:lang w:val="en-US" w:eastAsia="zh-CN"/>
        </w:rPr>
        <w:t>水泥</w:t>
      </w:r>
      <w:r>
        <w:rPr>
          <w:rFonts w:hint="eastAsia"/>
          <w:sz w:val="24"/>
          <w:szCs w:val="24"/>
        </w:rPr>
        <w:t>采购</w:t>
      </w:r>
      <w:r>
        <w:rPr>
          <w:rFonts w:hAnsi="宋体" w:cs="Arial"/>
          <w:sz w:val="24"/>
        </w:rPr>
        <w:t>。</w:t>
      </w:r>
    </w:p>
    <w:p>
      <w:pPr>
        <w:pStyle w:val="11"/>
        <w:keepNext w:val="0"/>
        <w:keepLines w:val="0"/>
        <w:pageBreakBefore w:val="0"/>
        <w:kinsoku/>
        <w:wordWrap/>
        <w:topLinePunct w:val="0"/>
        <w:bidi w:val="0"/>
        <w:spacing w:line="360" w:lineRule="auto"/>
        <w:ind w:firstLine="482"/>
        <w:rPr>
          <w:rFonts w:hAnsi="宋体" w:cs="Arial"/>
          <w:sz w:val="24"/>
        </w:rPr>
      </w:pPr>
      <w:r>
        <w:rPr>
          <w:rFonts w:hAnsi="宋体" w:cs="Arial"/>
          <w:sz w:val="24"/>
        </w:rPr>
        <w:t>8.2 报价</w:t>
      </w:r>
    </w:p>
    <w:p>
      <w:pPr>
        <w:pStyle w:val="41"/>
        <w:keepNext w:val="0"/>
        <w:keepLines w:val="0"/>
        <w:pageBreakBefore w:val="0"/>
        <w:kinsoku/>
        <w:wordWrap/>
        <w:topLinePunct w:val="0"/>
        <w:bidi w:val="0"/>
        <w:spacing w:before="0" w:line="360" w:lineRule="auto"/>
        <w:ind w:firstLine="482" w:firstLineChars="0"/>
        <w:rPr>
          <w:rFonts w:ascii="宋体" w:hAnsi="宋体" w:cs="宋体"/>
          <w:szCs w:val="24"/>
        </w:rPr>
      </w:pPr>
      <w:r>
        <w:rPr>
          <w:rFonts w:ascii="宋体" w:hAnsi="宋体" w:cs="Arial"/>
        </w:rPr>
        <w:t>8.2</w:t>
      </w:r>
      <w:r>
        <w:rPr>
          <w:rFonts w:ascii="宋体" w:hAnsi="宋体" w:cs="Arial"/>
          <w:szCs w:val="24"/>
        </w:rPr>
        <w:t xml:space="preserve">.1 </w:t>
      </w:r>
      <w:r>
        <w:rPr>
          <w:rFonts w:hint="eastAsia" w:ascii="宋体" w:hAnsi="宋体" w:cs="宋体"/>
          <w:szCs w:val="24"/>
        </w:rPr>
        <w:t>含税单价</w:t>
      </w:r>
      <w:r>
        <w:rPr>
          <w:rFonts w:hint="eastAsia" w:ascii="宋体" w:hAnsi="宋体" w:cs="宋体"/>
          <w:szCs w:val="24"/>
          <w:lang w:eastAsia="zh-CN"/>
        </w:rPr>
        <w:t>，</w:t>
      </w:r>
      <w:r>
        <w:rPr>
          <w:rFonts w:hint="eastAsia" w:ascii="宋体" w:hAnsi="宋体" w:cs="宋体"/>
          <w:szCs w:val="24"/>
          <w:lang w:bidi="en-US"/>
        </w:rPr>
        <w:t>报价含13%增值税。</w:t>
      </w:r>
    </w:p>
    <w:p>
      <w:pPr>
        <w:autoSpaceDE w:val="0"/>
        <w:autoSpaceDN w:val="0"/>
        <w:adjustRightInd w:val="0"/>
        <w:spacing w:line="360" w:lineRule="auto"/>
        <w:ind w:firstLine="480"/>
        <w:rPr>
          <w:rFonts w:ascii="宋体" w:hAnsi="宋体" w:cs="Arial"/>
          <w:sz w:val="24"/>
        </w:rPr>
      </w:pPr>
      <w:bookmarkStart w:id="22" w:name="_Hlt75236011"/>
      <w:bookmarkEnd w:id="22"/>
      <w:bookmarkStart w:id="23" w:name="_Toc91899884"/>
      <w:r>
        <w:rPr>
          <w:rFonts w:ascii="宋体" w:hAnsi="宋体" w:cs="Arial"/>
          <w:sz w:val="24"/>
        </w:rPr>
        <w:t>8.2.</w:t>
      </w:r>
      <w:r>
        <w:rPr>
          <w:rFonts w:hint="eastAsia" w:ascii="宋体" w:hAnsi="宋体" w:cs="Arial"/>
          <w:sz w:val="24"/>
          <w:lang w:val="en-US" w:eastAsia="zh-CN"/>
        </w:rPr>
        <w:t xml:space="preserve">2 </w:t>
      </w:r>
      <w:r>
        <w:rPr>
          <w:rFonts w:hint="eastAsia" w:ascii="宋体" w:hAnsi="宋体" w:cs="Arial"/>
          <w:sz w:val="24"/>
        </w:rPr>
        <w:t>报价包含</w:t>
      </w:r>
      <w:r>
        <w:rPr>
          <w:rFonts w:hint="eastAsia" w:ascii="宋体" w:hAnsi="宋体" w:cs="Arial"/>
          <w:sz w:val="24"/>
          <w:lang w:eastAsia="zh-CN"/>
        </w:rPr>
        <w:t>采购</w:t>
      </w:r>
      <w:r>
        <w:rPr>
          <w:rFonts w:hint="eastAsia" w:ascii="宋体" w:hAnsi="宋体" w:cs="Arial"/>
          <w:sz w:val="24"/>
          <w:lang w:val="en-US" w:eastAsia="zh-CN"/>
        </w:rPr>
        <w:t>水泥材料产生</w:t>
      </w:r>
      <w:r>
        <w:rPr>
          <w:rFonts w:hint="eastAsia" w:ascii="宋体" w:hAnsi="宋体" w:cs="Arial"/>
          <w:sz w:val="24"/>
        </w:rPr>
        <w:t>的所有费用，但不仅限于材料费、运输费、利润、税金等为完成本</w:t>
      </w:r>
      <w:r>
        <w:rPr>
          <w:rFonts w:hint="eastAsia" w:ascii="宋体" w:hAnsi="宋体" w:cs="Arial"/>
          <w:sz w:val="24"/>
          <w:lang w:eastAsia="zh-CN"/>
        </w:rPr>
        <w:t>项采购</w:t>
      </w:r>
      <w:r>
        <w:rPr>
          <w:rFonts w:hint="eastAsia" w:ascii="宋体" w:hAnsi="宋体" w:cs="Arial"/>
          <w:sz w:val="24"/>
        </w:rPr>
        <w:t>所需全部费用由投标人自理。</w:t>
      </w:r>
    </w:p>
    <w:p>
      <w:pPr>
        <w:pStyle w:val="11"/>
        <w:spacing w:line="360" w:lineRule="auto"/>
        <w:ind w:firstLine="480"/>
        <w:rPr>
          <w:rFonts w:hAnsi="宋体" w:cs="Arial"/>
          <w:sz w:val="24"/>
        </w:rPr>
      </w:pPr>
      <w:r>
        <w:rPr>
          <w:rFonts w:hAnsi="宋体" w:cs="Arial"/>
          <w:sz w:val="24"/>
        </w:rPr>
        <w:t>8.3 其它费用处理</w:t>
      </w:r>
    </w:p>
    <w:p>
      <w:pPr>
        <w:pStyle w:val="11"/>
        <w:spacing w:line="360" w:lineRule="auto"/>
        <w:ind w:firstLine="480"/>
        <w:rPr>
          <w:rFonts w:hAnsi="宋体" w:cs="Arial"/>
          <w:sz w:val="24"/>
        </w:rPr>
      </w:pPr>
      <w:r>
        <w:rPr>
          <w:rFonts w:hAnsi="宋体" w:cs="Arial"/>
          <w:sz w:val="24"/>
        </w:rPr>
        <w:t>招标文件未列明，而投标人认为必需的费用也需列入报价。</w:t>
      </w:r>
    </w:p>
    <w:p>
      <w:pPr>
        <w:pStyle w:val="2"/>
        <w:spacing w:line="460" w:lineRule="exact"/>
        <w:ind w:firstLine="643" w:firstLineChars="200"/>
        <w:rPr>
          <w:rFonts w:ascii="宋体" w:hAnsi="宋体" w:cs="Arial"/>
          <w:b/>
          <w:sz w:val="32"/>
          <w:szCs w:val="32"/>
        </w:rPr>
      </w:pPr>
    </w:p>
    <w:p>
      <w:pPr>
        <w:spacing w:line="460" w:lineRule="exact"/>
        <w:jc w:val="center"/>
        <w:rPr>
          <w:rFonts w:ascii="宋体" w:hAnsi="宋体" w:cs="Arial"/>
          <w:b/>
          <w:sz w:val="32"/>
          <w:szCs w:val="32"/>
        </w:rPr>
      </w:pPr>
      <w:r>
        <w:rPr>
          <w:rFonts w:ascii="宋体" w:hAnsi="宋体" w:cs="Arial"/>
          <w:b/>
          <w:sz w:val="32"/>
          <w:szCs w:val="32"/>
        </w:rPr>
        <w:t>三、投标文件的编制</w:t>
      </w:r>
      <w:bookmarkEnd w:id="23"/>
    </w:p>
    <w:p>
      <w:pPr>
        <w:pStyle w:val="41"/>
        <w:spacing w:before="0" w:line="460" w:lineRule="exact"/>
        <w:ind w:firstLine="0" w:firstLineChars="0"/>
        <w:rPr>
          <w:rFonts w:ascii="宋体" w:hAnsi="宋体" w:cs="Arial"/>
          <w:b/>
        </w:rPr>
      </w:pPr>
      <w:r>
        <w:rPr>
          <w:rFonts w:ascii="宋体" w:hAnsi="宋体" w:cs="Arial"/>
          <w:b/>
        </w:rPr>
        <w:t>9. 投标文件的语言</w:t>
      </w:r>
    </w:p>
    <w:p>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投标文件及投标人与采购有关的来往通知、函件和文件均应使用中文。</w:t>
      </w:r>
    </w:p>
    <w:p>
      <w:pPr>
        <w:pStyle w:val="41"/>
        <w:spacing w:before="0" w:line="460" w:lineRule="exact"/>
        <w:ind w:firstLine="0" w:firstLineChars="0"/>
        <w:rPr>
          <w:rFonts w:ascii="宋体" w:hAnsi="宋体" w:cs="Arial"/>
          <w:b/>
        </w:rPr>
      </w:pPr>
      <w:r>
        <w:rPr>
          <w:rFonts w:ascii="宋体" w:hAnsi="宋体" w:cs="Arial"/>
          <w:b/>
        </w:rPr>
        <w:t>10. 投标文件的组成</w:t>
      </w:r>
    </w:p>
    <w:p>
      <w:pPr>
        <w:snapToGrid w:val="0"/>
        <w:spacing w:line="460" w:lineRule="exact"/>
        <w:ind w:firstLine="480" w:firstLineChars="200"/>
        <w:rPr>
          <w:rFonts w:ascii="宋体" w:hAnsi="宋体" w:cs="Arial"/>
          <w:sz w:val="24"/>
          <w:lang w:val="zh-CN"/>
        </w:rPr>
      </w:pPr>
      <w:bookmarkStart w:id="24" w:name="_Hlk76726570"/>
      <w:bookmarkStart w:id="25" w:name="_Toc91899887"/>
      <w:r>
        <w:rPr>
          <w:rFonts w:ascii="宋体" w:hAnsi="宋体" w:cs="Arial"/>
          <w:kern w:val="0"/>
          <w:sz w:val="24"/>
          <w:lang w:val="zh-CN"/>
        </w:rPr>
        <w:t xml:space="preserve">10.1 </w:t>
      </w:r>
      <w:r>
        <w:rPr>
          <w:rFonts w:ascii="宋体" w:hAnsi="宋体" w:cs="Arial"/>
          <w:sz w:val="24"/>
          <w:lang w:val="zh-CN"/>
        </w:rPr>
        <w:t>投标人的</w:t>
      </w:r>
      <w:r>
        <w:rPr>
          <w:rFonts w:hint="eastAsia" w:ascii="宋体" w:hAnsi="宋体" w:cs="Arial"/>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1）投标函；</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开标一览表</w:t>
      </w:r>
      <w:r>
        <w:rPr>
          <w:rFonts w:hint="eastAsia" w:ascii="宋体" w:hAnsi="宋体" w:cs="Arial"/>
          <w:sz w:val="24"/>
        </w:rPr>
        <w:t>；</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3）法定代表人委托的授权委托书；</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）单位基本情况表；</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）投标人业绩表；</w:t>
      </w:r>
    </w:p>
    <w:p>
      <w:pPr>
        <w:pStyle w:val="11"/>
        <w:spacing w:line="460" w:lineRule="exact"/>
        <w:ind w:firstLine="480" w:firstLineChars="200"/>
        <w:rPr>
          <w:rFonts w:hAnsi="宋体" w:cs="Arial"/>
          <w:sz w:val="24"/>
        </w:rPr>
      </w:pPr>
      <w:r>
        <w:rPr>
          <w:rFonts w:hAnsi="宋体" w:cs="Arial"/>
          <w:sz w:val="24"/>
        </w:rPr>
        <w:t>6</w:t>
      </w:r>
      <w:r>
        <w:rPr>
          <w:rFonts w:hint="eastAsia" w:hAnsi="宋体" w:cs="Arial"/>
          <w:sz w:val="24"/>
        </w:rPr>
        <w:t>）投标人法人营业执照</w:t>
      </w:r>
      <w:r>
        <w:rPr>
          <w:rFonts w:hint="eastAsia" w:hAnsi="宋体"/>
          <w:kern w:val="2"/>
          <w:sz w:val="24"/>
        </w:rPr>
        <w:t>、开户许可证等</w:t>
      </w:r>
      <w:r>
        <w:rPr>
          <w:rFonts w:hint="eastAsia" w:hAnsi="宋体" w:cs="Arial"/>
          <w:sz w:val="24"/>
        </w:rPr>
        <w:t>资格证明材料的复印件。</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10.2 投标人的</w:t>
      </w:r>
      <w:r>
        <w:rPr>
          <w:rFonts w:ascii="宋体" w:hAnsi="宋体" w:cs="Arial"/>
          <w:b/>
          <w:bCs/>
          <w:sz w:val="24"/>
        </w:rPr>
        <w:t>技术文件</w:t>
      </w:r>
      <w:r>
        <w:rPr>
          <w:rFonts w:ascii="宋体" w:hAnsi="宋体" w:cs="Arial"/>
          <w:sz w:val="24"/>
        </w:rPr>
        <w:t>应至少包括</w:t>
      </w:r>
      <w:r>
        <w:rPr>
          <w:rFonts w:hint="eastAsia" w:ascii="宋体" w:hAnsi="宋体" w:cs="Arial"/>
          <w:sz w:val="24"/>
        </w:rPr>
        <w:t>(格式自拟)</w:t>
      </w:r>
      <w:r>
        <w:rPr>
          <w:rFonts w:ascii="宋体" w:hAnsi="宋体" w:cs="Arial"/>
          <w:sz w:val="24"/>
        </w:rPr>
        <w:t>：</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1）针对本项目完整的技术、服务方案；</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2）服务团队和质量保证措施。</w:t>
      </w:r>
    </w:p>
    <w:p>
      <w:pPr>
        <w:spacing w:line="460" w:lineRule="exact"/>
        <w:ind w:firstLine="480" w:firstLineChars="200"/>
        <w:rPr>
          <w:rFonts w:ascii="宋体" w:hAnsi="宋体" w:cs="Arial"/>
          <w:bCs/>
          <w:kern w:val="0"/>
          <w:sz w:val="24"/>
          <w:lang w:val="zh-CN"/>
        </w:rPr>
      </w:pPr>
      <w:r>
        <w:rPr>
          <w:rFonts w:ascii="宋体" w:hAnsi="宋体" w:cs="Arial"/>
          <w:bCs/>
          <w:kern w:val="0"/>
          <w:sz w:val="24"/>
          <w:lang w:val="zh-CN"/>
        </w:rPr>
        <w:t>10.3 招标文件要求提供的其他资料</w:t>
      </w:r>
      <w:r>
        <w:rPr>
          <w:rFonts w:hint="eastAsia" w:ascii="宋体" w:hAnsi="宋体" w:cs="Arial"/>
          <w:bCs/>
          <w:kern w:val="0"/>
          <w:sz w:val="24"/>
          <w:lang w:val="zh-CN"/>
        </w:rPr>
        <w:t>、投标人认为需要补充的其他资料</w:t>
      </w:r>
      <w:r>
        <w:rPr>
          <w:rFonts w:ascii="宋体" w:hAnsi="宋体" w:cs="Arial"/>
          <w:bCs/>
          <w:kern w:val="0"/>
          <w:sz w:val="24"/>
          <w:lang w:val="zh-CN"/>
        </w:rPr>
        <w:t>（格式自拟</w:t>
      </w:r>
      <w:r>
        <w:rPr>
          <w:rFonts w:hint="eastAsia" w:ascii="宋体" w:hAnsi="宋体" w:cs="Arial"/>
          <w:bCs/>
          <w:kern w:val="0"/>
          <w:sz w:val="24"/>
          <w:lang w:val="zh-CN"/>
        </w:rPr>
        <w:t>，投标人自行考虑装入资信报价文件或技术文件</w:t>
      </w:r>
      <w:r>
        <w:rPr>
          <w:rFonts w:ascii="宋体" w:hAnsi="宋体" w:cs="Arial"/>
          <w:bCs/>
          <w:kern w:val="0"/>
          <w:sz w:val="24"/>
          <w:lang w:val="zh-CN"/>
        </w:rPr>
        <w:t>）</w:t>
      </w:r>
      <w:r>
        <w:rPr>
          <w:rFonts w:hint="eastAsia" w:ascii="宋体" w:hAnsi="宋体" w:cs="Arial"/>
          <w:bCs/>
          <w:kern w:val="0"/>
          <w:sz w:val="24"/>
          <w:lang w:val="zh-CN"/>
        </w:rPr>
        <w:t>。</w:t>
      </w:r>
    </w:p>
    <w:bookmarkEnd w:id="24"/>
    <w:p>
      <w:pPr>
        <w:pStyle w:val="41"/>
        <w:spacing w:before="0" w:line="460" w:lineRule="exact"/>
        <w:ind w:firstLine="0" w:firstLineChars="0"/>
        <w:rPr>
          <w:rFonts w:ascii="宋体" w:hAnsi="宋体" w:cs="Arial"/>
          <w:b/>
        </w:rPr>
      </w:pPr>
      <w:r>
        <w:rPr>
          <w:rFonts w:ascii="宋体" w:hAnsi="宋体" w:cs="Arial"/>
          <w:b/>
        </w:rPr>
        <w:t>11. 投标有效期</w:t>
      </w:r>
    </w:p>
    <w:p>
      <w:pPr>
        <w:pStyle w:val="41"/>
        <w:spacing w:before="0" w:line="460" w:lineRule="exact"/>
        <w:ind w:firstLine="480"/>
        <w:rPr>
          <w:rFonts w:ascii="宋体" w:hAnsi="宋体" w:cs="Arial"/>
        </w:rPr>
      </w:pPr>
      <w:r>
        <w:rPr>
          <w:rFonts w:ascii="宋体" w:hAnsi="宋体" w:cs="Arial"/>
        </w:rPr>
        <w:t>11.1 投标文件合格投递后，自投标截止日期起，至前附表第3项所列的日期内有效。</w:t>
      </w:r>
    </w:p>
    <w:p>
      <w:pPr>
        <w:pStyle w:val="41"/>
        <w:spacing w:before="0" w:line="460" w:lineRule="exact"/>
        <w:ind w:firstLine="480"/>
        <w:rPr>
          <w:rFonts w:ascii="宋体" w:hAnsi="宋体" w:cs="Arial"/>
        </w:rPr>
      </w:pPr>
      <w:r>
        <w:rPr>
          <w:rFonts w:ascii="宋体" w:hAnsi="宋体" w:cs="Arial"/>
        </w:rPr>
        <w:t>11.2 在原定投标有效期内，如果出现特殊情况，</w:t>
      </w:r>
      <w:r>
        <w:rPr>
          <w:rFonts w:ascii="宋体" w:hAnsi="宋体" w:cs="Arial"/>
          <w:szCs w:val="24"/>
        </w:rPr>
        <w:t>招标人</w:t>
      </w:r>
      <w:r>
        <w:rPr>
          <w:rFonts w:ascii="宋体" w:hAnsi="宋体" w:cs="Arial"/>
        </w:rPr>
        <w:t>可以书面或邮件形式通知投标人延长投标有效期。</w:t>
      </w:r>
    </w:p>
    <w:p>
      <w:pPr>
        <w:pStyle w:val="41"/>
        <w:spacing w:before="0" w:line="460" w:lineRule="exact"/>
        <w:ind w:firstLine="0" w:firstLineChars="0"/>
        <w:rPr>
          <w:rFonts w:ascii="宋体" w:hAnsi="宋体" w:cs="Arial"/>
        </w:rPr>
      </w:pPr>
      <w:r>
        <w:rPr>
          <w:rFonts w:ascii="宋体" w:hAnsi="宋体" w:cs="Arial"/>
          <w:b/>
        </w:rPr>
        <w:t>12. 投标保证金</w:t>
      </w:r>
      <w:r>
        <w:rPr>
          <w:rFonts w:hint="eastAsia" w:ascii="宋体" w:hAnsi="宋体" w:cs="Arial"/>
        </w:rPr>
        <w:t>（本项目不采用）</w:t>
      </w:r>
    </w:p>
    <w:p>
      <w:pPr>
        <w:pStyle w:val="41"/>
        <w:spacing w:before="0" w:line="460" w:lineRule="exact"/>
        <w:ind w:firstLine="0" w:firstLineChars="0"/>
        <w:rPr>
          <w:rFonts w:ascii="宋体" w:hAnsi="宋体" w:cs="Arial"/>
          <w:b/>
        </w:rPr>
      </w:pPr>
      <w:r>
        <w:rPr>
          <w:rFonts w:ascii="宋体" w:hAnsi="宋体" w:cs="Arial"/>
          <w:b/>
        </w:rPr>
        <w:t>13. 投标文件的编制和签署</w:t>
      </w:r>
    </w:p>
    <w:p>
      <w:pPr>
        <w:pStyle w:val="41"/>
        <w:spacing w:before="0" w:line="460" w:lineRule="exact"/>
        <w:ind w:firstLine="480"/>
        <w:rPr>
          <w:rFonts w:hint="eastAsia" w:ascii="宋体" w:hAnsi="宋体" w:cs="Arial"/>
        </w:rPr>
      </w:pPr>
      <w:r>
        <w:rPr>
          <w:rFonts w:ascii="宋体" w:hAnsi="宋体" w:cs="Arial"/>
        </w:rPr>
        <w:t>13.1 投标人按本须知第9条规定的语言和前附表第5项规定的份数编制投标文件。</w:t>
      </w:r>
      <w:r>
        <w:rPr>
          <w:rFonts w:ascii="宋体" w:hAnsi="宋体" w:cs="Arial"/>
          <w:b/>
        </w:rPr>
        <w:t>投标文件</w:t>
      </w:r>
      <w:r>
        <w:rPr>
          <w:rFonts w:hint="eastAsia" w:ascii="宋体" w:hAnsi="宋体" w:cs="Arial"/>
          <w:b/>
        </w:rPr>
        <w:t>资信报价</w:t>
      </w:r>
      <w:r>
        <w:rPr>
          <w:rFonts w:ascii="宋体" w:hAnsi="宋体" w:cs="Arial"/>
          <w:b/>
        </w:rPr>
        <w:t>部分、技术部分</w:t>
      </w:r>
      <w:r>
        <w:rPr>
          <w:rFonts w:hint="eastAsia" w:ascii="宋体" w:hAnsi="宋体" w:cs="Arial"/>
          <w:b/>
        </w:rPr>
        <w:t>可合并或</w:t>
      </w:r>
      <w:r>
        <w:rPr>
          <w:rFonts w:ascii="宋体" w:hAnsi="宋体" w:cs="Arial"/>
          <w:b/>
        </w:rPr>
        <w:t>分别装订成册，</w:t>
      </w:r>
      <w:r>
        <w:rPr>
          <w:rFonts w:ascii="宋体" w:hAnsi="宋体" w:cs="Arial"/>
        </w:rPr>
        <w:t>并应在投标文件封面的右上角清楚地注明“正本”或“副本”。正本和副本如有不一致</w:t>
      </w:r>
      <w:r>
        <w:rPr>
          <w:rFonts w:hint="eastAsia" w:ascii="宋体" w:hAnsi="宋体" w:cs="Arial"/>
        </w:rPr>
        <w:t>时</w:t>
      </w:r>
      <w:r>
        <w:rPr>
          <w:rFonts w:ascii="宋体" w:hAnsi="宋体" w:cs="Arial"/>
        </w:rPr>
        <w:t>，以正本为准</w:t>
      </w:r>
      <w:r>
        <w:rPr>
          <w:rFonts w:hint="eastAsia" w:ascii="宋体" w:hAnsi="宋体" w:cs="Arial"/>
        </w:rPr>
        <w:t>。</w:t>
      </w:r>
    </w:p>
    <w:p>
      <w:pPr>
        <w:pStyle w:val="41"/>
        <w:spacing w:before="0" w:line="460" w:lineRule="exact"/>
        <w:ind w:firstLine="480"/>
        <w:rPr>
          <w:rFonts w:ascii="宋体" w:hAnsi="宋体" w:cs="Arial"/>
        </w:rPr>
      </w:pPr>
      <w:r>
        <w:rPr>
          <w:rFonts w:ascii="宋体" w:hAnsi="宋体" w:cs="Arial"/>
        </w:rPr>
        <w:t>13.2 投标文件正本和副本均应使用不能擦去的墨水打印或书写，字迹应清晰易于辨认。</w:t>
      </w:r>
      <w:r>
        <w:rPr>
          <w:rFonts w:hint="eastAsia" w:ascii="宋体" w:hAnsi="宋体" w:cs="Arial"/>
        </w:rPr>
        <w:t>“正本”和</w:t>
      </w:r>
      <w:r>
        <w:rPr>
          <w:rFonts w:ascii="宋体" w:hAnsi="宋体" w:cs="Arial"/>
        </w:rPr>
        <w:t>投标</w:t>
      </w:r>
      <w:r>
        <w:rPr>
          <w:rFonts w:hint="eastAsia" w:ascii="宋体" w:hAnsi="宋体" w:cs="Arial"/>
        </w:rPr>
        <w:t>报价单</w:t>
      </w:r>
      <w:r>
        <w:rPr>
          <w:rFonts w:ascii="宋体" w:hAnsi="宋体" w:cs="Arial"/>
        </w:rPr>
        <w:t>必须</w:t>
      </w:r>
      <w:r>
        <w:rPr>
          <w:rFonts w:ascii="宋体" w:hAnsi="宋体" w:cs="Arial"/>
          <w:szCs w:val="24"/>
        </w:rPr>
        <w:t>加盖法人单位公章，并由法定代表人或授权委托人签字。</w:t>
      </w:r>
    </w:p>
    <w:p>
      <w:pPr>
        <w:spacing w:line="460" w:lineRule="exact"/>
        <w:ind w:firstLine="480" w:firstLineChars="200"/>
        <w:rPr>
          <w:rFonts w:ascii="宋体" w:hAnsi="宋体" w:cs="Arial"/>
          <w:sz w:val="24"/>
        </w:rPr>
      </w:pPr>
      <w:r>
        <w:rPr>
          <w:rFonts w:ascii="宋体" w:hAnsi="宋体" w:cs="Arial"/>
          <w:sz w:val="24"/>
        </w:rPr>
        <w:t>13.3 全套投标文件应无涂改和行间插字，除非这些删改是根据招标人要求进行，或者是投标人造成的必须修改的错误。所修改处应由法定代表人或授权委托人签字并加盖公章予以确认。</w:t>
      </w:r>
    </w:p>
    <w:bookmarkEnd w:id="25"/>
    <w:p>
      <w:pPr>
        <w:spacing w:line="460" w:lineRule="exact"/>
        <w:jc w:val="center"/>
        <w:rPr>
          <w:rFonts w:ascii="宋体" w:hAnsi="宋体" w:cs="Arial"/>
          <w:b/>
          <w:sz w:val="32"/>
          <w:szCs w:val="32"/>
        </w:rPr>
      </w:pPr>
      <w:bookmarkStart w:id="26" w:name="_Hlt68073093"/>
      <w:bookmarkEnd w:id="26"/>
      <w:bookmarkStart w:id="27" w:name="_Hlt68072998"/>
      <w:bookmarkEnd w:id="27"/>
      <w:bookmarkStart w:id="28" w:name="_Hlt68403820"/>
      <w:bookmarkEnd w:id="28"/>
      <w:bookmarkStart w:id="29" w:name="_Toc86216991"/>
      <w:bookmarkStart w:id="30" w:name="_Toc91899892"/>
    </w:p>
    <w:p>
      <w:pPr>
        <w:spacing w:line="460" w:lineRule="exact"/>
        <w:jc w:val="center"/>
        <w:rPr>
          <w:rFonts w:ascii="宋体" w:hAnsi="宋体" w:cs="Arial"/>
          <w:b/>
          <w:sz w:val="32"/>
          <w:szCs w:val="32"/>
        </w:rPr>
      </w:pPr>
      <w:r>
        <w:rPr>
          <w:rFonts w:ascii="宋体" w:hAnsi="宋体" w:cs="Arial"/>
          <w:b/>
          <w:sz w:val="32"/>
          <w:szCs w:val="32"/>
        </w:rPr>
        <w:t>四、投标文件的递交</w:t>
      </w:r>
      <w:bookmarkEnd w:id="29"/>
    </w:p>
    <w:bookmarkEnd w:id="30"/>
    <w:p>
      <w:pPr>
        <w:pStyle w:val="41"/>
        <w:spacing w:before="0" w:line="460" w:lineRule="exact"/>
        <w:ind w:firstLine="0" w:firstLineChars="0"/>
        <w:rPr>
          <w:rFonts w:ascii="宋体" w:hAnsi="宋体" w:cs="Arial"/>
          <w:b/>
        </w:rPr>
      </w:pPr>
      <w:r>
        <w:rPr>
          <w:rFonts w:ascii="宋体" w:hAnsi="宋体" w:cs="Arial"/>
          <w:b/>
        </w:rPr>
        <w:t>14. 投标文件的密封与标志</w:t>
      </w:r>
    </w:p>
    <w:p>
      <w:pPr>
        <w:pStyle w:val="41"/>
        <w:spacing w:before="0" w:line="460" w:lineRule="exact"/>
        <w:ind w:firstLine="480"/>
        <w:rPr>
          <w:rFonts w:ascii="宋体" w:hAnsi="宋体" w:cs="Arial"/>
        </w:rPr>
      </w:pPr>
      <w:r>
        <w:rPr>
          <w:rFonts w:ascii="宋体" w:hAnsi="宋体" w:cs="Arial"/>
        </w:rPr>
        <w:t xml:space="preserve">14.1 </w:t>
      </w:r>
      <w:r>
        <w:rPr>
          <w:rFonts w:hint="eastAsia" w:ascii="宋体" w:hAnsi="宋体" w:cs="Arial"/>
          <w:b/>
        </w:rPr>
        <w:t>各标项的投标文件应分别装袋密封，</w:t>
      </w:r>
      <w:r>
        <w:rPr>
          <w:rFonts w:ascii="宋体" w:hAnsi="宋体" w:cs="Arial"/>
          <w:szCs w:val="24"/>
        </w:rPr>
        <w:t>没有密封包装的投标文件，</w:t>
      </w:r>
      <w:r>
        <w:rPr>
          <w:rFonts w:hint="eastAsia" w:ascii="宋体" w:hAnsi="宋体" w:cs="Arial"/>
          <w:szCs w:val="24"/>
        </w:rPr>
        <w:t>应当拒收</w:t>
      </w:r>
      <w:r>
        <w:rPr>
          <w:rFonts w:ascii="宋体" w:hAnsi="宋体" w:cs="Arial"/>
        </w:rPr>
        <w:t>。</w:t>
      </w:r>
    </w:p>
    <w:p>
      <w:pPr>
        <w:pStyle w:val="41"/>
        <w:spacing w:before="0" w:line="460" w:lineRule="exact"/>
        <w:ind w:firstLine="480"/>
        <w:rPr>
          <w:rFonts w:ascii="宋体" w:hAnsi="宋体" w:cs="Arial"/>
        </w:rPr>
      </w:pPr>
      <w:r>
        <w:rPr>
          <w:rFonts w:ascii="宋体" w:hAnsi="宋体" w:cs="Arial"/>
        </w:rPr>
        <w:t>14.2 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pPr>
        <w:pStyle w:val="41"/>
        <w:spacing w:before="0" w:line="460" w:lineRule="exact"/>
        <w:ind w:firstLine="480"/>
        <w:rPr>
          <w:rFonts w:ascii="宋体" w:hAnsi="宋体" w:cs="Arial"/>
        </w:rPr>
      </w:pPr>
      <w:r>
        <w:rPr>
          <w:rFonts w:ascii="宋体" w:hAnsi="宋体" w:cs="Arial"/>
        </w:rPr>
        <w:t>14.3 投标文件递交至前附表第</w:t>
      </w:r>
      <w:r>
        <w:rPr>
          <w:rFonts w:hint="eastAsia" w:ascii="宋体" w:hAnsi="宋体" w:cs="Arial"/>
        </w:rPr>
        <w:t>6</w:t>
      </w:r>
      <w:r>
        <w:rPr>
          <w:rFonts w:ascii="宋体" w:hAnsi="宋体" w:cs="Arial"/>
        </w:rPr>
        <w:t>项所述的单位和地址。</w:t>
      </w:r>
    </w:p>
    <w:p>
      <w:pPr>
        <w:pStyle w:val="41"/>
        <w:spacing w:before="0" w:line="460" w:lineRule="exact"/>
        <w:ind w:firstLine="0" w:firstLineChars="0"/>
        <w:rPr>
          <w:rFonts w:ascii="宋体" w:hAnsi="宋体" w:cs="Arial"/>
          <w:b/>
        </w:rPr>
      </w:pPr>
      <w:r>
        <w:rPr>
          <w:rFonts w:ascii="宋体" w:hAnsi="宋体" w:cs="Arial"/>
          <w:b/>
        </w:rPr>
        <w:t>15. 投标截止期</w:t>
      </w:r>
    </w:p>
    <w:p>
      <w:pPr>
        <w:pStyle w:val="41"/>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w:t>
      </w:r>
      <w:r>
        <w:rPr>
          <w:rFonts w:hint="eastAsia" w:ascii="宋体" w:hAnsi="宋体" w:cs="Arial"/>
        </w:rPr>
        <w:t>接收</w:t>
      </w:r>
      <w:r>
        <w:rPr>
          <w:rFonts w:ascii="宋体" w:hAnsi="宋体" w:cs="Arial"/>
        </w:rPr>
        <w:t>逾期送达的投标文件。</w:t>
      </w:r>
    </w:p>
    <w:p>
      <w:pPr>
        <w:pStyle w:val="41"/>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pPr>
        <w:pStyle w:val="41"/>
        <w:spacing w:before="0" w:line="460" w:lineRule="exact"/>
        <w:ind w:firstLine="0" w:firstLineChars="0"/>
        <w:rPr>
          <w:rFonts w:ascii="宋体" w:hAnsi="宋体" w:cs="Arial"/>
          <w:b/>
        </w:rPr>
      </w:pPr>
      <w:r>
        <w:rPr>
          <w:rFonts w:ascii="宋体" w:hAnsi="宋体" w:cs="Arial"/>
          <w:b/>
        </w:rPr>
        <w:t>16. 投标文件的修改</w:t>
      </w:r>
    </w:p>
    <w:p>
      <w:pPr>
        <w:pStyle w:val="41"/>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加盖单位公章，并由法定代表人或授权委托人签字，在投标截止时间以后，不能修改、补充投标文件</w:t>
      </w:r>
      <w:r>
        <w:rPr>
          <w:rFonts w:ascii="宋体" w:hAnsi="宋体" w:cs="Arial"/>
        </w:rPr>
        <w:t>。</w:t>
      </w:r>
    </w:p>
    <w:p>
      <w:pPr>
        <w:pStyle w:val="41"/>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pPr>
        <w:pStyle w:val="41"/>
        <w:spacing w:before="0" w:line="460" w:lineRule="exact"/>
        <w:ind w:firstLine="480"/>
        <w:rPr>
          <w:rFonts w:ascii="宋体" w:hAnsi="宋体" w:cs="Arial"/>
        </w:rPr>
      </w:pPr>
      <w:r>
        <w:rPr>
          <w:rFonts w:ascii="宋体" w:hAnsi="宋体" w:cs="Arial"/>
        </w:rPr>
        <w:t>16.3 投标人对投标文件的修改均要加以说明，否则其修改将被视为无效。</w:t>
      </w:r>
    </w:p>
    <w:p>
      <w:pPr>
        <w:pStyle w:val="41"/>
        <w:spacing w:before="0" w:line="460" w:lineRule="exact"/>
        <w:ind w:firstLine="480"/>
        <w:rPr>
          <w:rFonts w:ascii="宋体" w:hAnsi="宋体" w:cs="Arial"/>
        </w:rPr>
      </w:pPr>
      <w:r>
        <w:rPr>
          <w:rFonts w:ascii="宋体" w:hAnsi="宋体" w:cs="Arial"/>
        </w:rPr>
        <w:t>16.4 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将承担由此引起的一切损失</w:t>
      </w:r>
      <w:r>
        <w:rPr>
          <w:rFonts w:ascii="宋体" w:hAnsi="宋体" w:cs="Arial"/>
        </w:rPr>
        <w:t>。</w:t>
      </w:r>
    </w:p>
    <w:p>
      <w:pPr>
        <w:pStyle w:val="41"/>
        <w:spacing w:before="0" w:line="460" w:lineRule="exact"/>
        <w:ind w:firstLine="480"/>
        <w:rPr>
          <w:rFonts w:ascii="宋体" w:hAnsi="宋体" w:cs="Arial"/>
        </w:rPr>
      </w:pPr>
    </w:p>
    <w:p>
      <w:pPr>
        <w:spacing w:line="460" w:lineRule="exact"/>
        <w:jc w:val="center"/>
        <w:rPr>
          <w:rFonts w:ascii="宋体" w:hAnsi="宋体" w:cs="Arial"/>
          <w:b/>
          <w:sz w:val="32"/>
          <w:szCs w:val="32"/>
        </w:rPr>
      </w:pPr>
      <w:bookmarkStart w:id="31" w:name="_Toc91899897"/>
      <w:r>
        <w:rPr>
          <w:rFonts w:ascii="宋体" w:hAnsi="宋体" w:cs="Arial"/>
          <w:b/>
          <w:sz w:val="32"/>
          <w:szCs w:val="32"/>
        </w:rPr>
        <w:t>五、开标</w:t>
      </w:r>
      <w:bookmarkEnd w:id="31"/>
    </w:p>
    <w:p>
      <w:pPr>
        <w:pStyle w:val="41"/>
        <w:spacing w:before="0" w:line="460" w:lineRule="exact"/>
        <w:ind w:firstLine="0" w:firstLineChars="0"/>
        <w:rPr>
          <w:rFonts w:ascii="宋体" w:hAnsi="宋体" w:cs="Arial"/>
          <w:b/>
        </w:rPr>
      </w:pPr>
      <w:r>
        <w:rPr>
          <w:rFonts w:ascii="宋体" w:hAnsi="宋体" w:cs="Arial"/>
          <w:b/>
        </w:rPr>
        <w:t>17. 开标</w:t>
      </w:r>
    </w:p>
    <w:p>
      <w:pPr>
        <w:pStyle w:val="41"/>
        <w:spacing w:before="0" w:line="460" w:lineRule="exact"/>
        <w:ind w:firstLine="480"/>
        <w:rPr>
          <w:rFonts w:ascii="宋体" w:hAnsi="宋体" w:cs="Arial"/>
          <w:b/>
          <w:bCs/>
        </w:rPr>
      </w:pPr>
      <w:r>
        <w:rPr>
          <w:rFonts w:ascii="宋体" w:hAnsi="宋体" w:cs="Arial"/>
        </w:rPr>
        <w:t xml:space="preserve">17.1 </w:t>
      </w:r>
      <w:r>
        <w:rPr>
          <w:rFonts w:ascii="宋体" w:hAnsi="宋体" w:cs="Arial"/>
          <w:szCs w:val="24"/>
        </w:rPr>
        <w:t>招标人将于前附表第</w:t>
      </w:r>
      <w:r>
        <w:rPr>
          <w:rFonts w:hint="eastAsia" w:ascii="宋体" w:hAnsi="宋体" w:cs="Arial"/>
          <w:szCs w:val="24"/>
        </w:rPr>
        <w:t>7</w:t>
      </w:r>
      <w:r>
        <w:rPr>
          <w:rFonts w:ascii="宋体" w:hAnsi="宋体" w:cs="Arial"/>
          <w:szCs w:val="24"/>
        </w:rPr>
        <w:t>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如不派代表参加开标会议的，事后不得对采购相关人员、开标过程和开标结果提出异议。</w:t>
      </w:r>
    </w:p>
    <w:p>
      <w:pPr>
        <w:pStyle w:val="42"/>
        <w:spacing w:before="0" w:line="460" w:lineRule="exact"/>
        <w:ind w:left="0" w:firstLine="480"/>
        <w:rPr>
          <w:rFonts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pPr>
        <w:pStyle w:val="42"/>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42"/>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p>
    <w:p>
      <w:pPr>
        <w:pStyle w:val="42"/>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正本及开标一览表未加盖法人单位公章、未由法定代表人或授权委托人签字。</w:t>
      </w:r>
    </w:p>
    <w:p>
      <w:pPr>
        <w:pStyle w:val="42"/>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pPr>
        <w:pStyle w:val="41"/>
        <w:spacing w:before="0" w:line="460" w:lineRule="exact"/>
        <w:ind w:firstLine="480"/>
        <w:rPr>
          <w:rFonts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w:t>
      </w:r>
      <w:r>
        <w:rPr>
          <w:rFonts w:hint="eastAsia" w:ascii="宋体" w:hAnsi="宋体" w:cs="Arial"/>
          <w:szCs w:val="24"/>
        </w:rPr>
        <w:t>，</w:t>
      </w:r>
      <w:r>
        <w:rPr>
          <w:rFonts w:ascii="宋体" w:hAnsi="宋体" w:cs="Arial"/>
          <w:szCs w:val="24"/>
        </w:rPr>
        <w:t>内容不全或内容字迹模糊辨认不清。</w:t>
      </w:r>
    </w:p>
    <w:p>
      <w:pPr>
        <w:pStyle w:val="41"/>
        <w:spacing w:before="0" w:line="460" w:lineRule="exact"/>
        <w:ind w:firstLine="0" w:firstLineChars="0"/>
        <w:rPr>
          <w:rFonts w:ascii="宋体" w:hAnsi="宋体" w:cs="Arial"/>
          <w:b/>
        </w:rPr>
      </w:pPr>
      <w:r>
        <w:rPr>
          <w:rFonts w:ascii="宋体" w:hAnsi="宋体" w:cs="Arial"/>
          <w:b/>
        </w:rPr>
        <w:t>18. 投标文件鉴定</w:t>
      </w:r>
    </w:p>
    <w:p>
      <w:pPr>
        <w:pStyle w:val="41"/>
        <w:spacing w:before="0" w:line="460" w:lineRule="exact"/>
        <w:ind w:firstLine="480"/>
        <w:rPr>
          <w:rFonts w:ascii="宋体" w:hAnsi="宋体" w:cs="Arial"/>
        </w:rPr>
      </w:pPr>
      <w:r>
        <w:rPr>
          <w:rFonts w:ascii="宋体" w:hAnsi="宋体" w:cs="Arial"/>
        </w:rPr>
        <w:t>18.1 开标时，投标文件被确认为无效，</w:t>
      </w:r>
      <w:r>
        <w:rPr>
          <w:rFonts w:ascii="宋体" w:hAnsi="宋体" w:cs="Arial"/>
          <w:szCs w:val="24"/>
        </w:rPr>
        <w:t>招标人</w:t>
      </w:r>
      <w:r>
        <w:rPr>
          <w:rFonts w:hint="eastAsia" w:ascii="宋体" w:hAnsi="宋体" w:cs="Arial"/>
        </w:rPr>
        <w:t>应</w:t>
      </w:r>
      <w:r>
        <w:rPr>
          <w:rFonts w:ascii="宋体" w:hAnsi="宋体" w:cs="Arial"/>
        </w:rPr>
        <w:t>及时通知该投标人。</w:t>
      </w:r>
    </w:p>
    <w:p>
      <w:pPr>
        <w:pStyle w:val="41"/>
        <w:spacing w:before="0" w:line="460" w:lineRule="exact"/>
        <w:ind w:firstLine="480"/>
        <w:rPr>
          <w:rFonts w:ascii="宋体" w:hAnsi="宋体" w:cs="Arial"/>
          <w:szCs w:val="24"/>
        </w:rPr>
      </w:pPr>
      <w:r>
        <w:rPr>
          <w:rFonts w:ascii="宋体" w:hAnsi="宋体" w:cs="Arial"/>
        </w:rPr>
        <w:t xml:space="preserve">18.2 </w:t>
      </w:r>
      <w:r>
        <w:rPr>
          <w:rFonts w:ascii="宋体" w:hAnsi="宋体" w:cs="Arial"/>
          <w:szCs w:val="24"/>
        </w:rPr>
        <w:t>在评标前，招标人可组织审标小组对每份投标文件进行符合性等方面的预审。</w:t>
      </w:r>
    </w:p>
    <w:p>
      <w:pPr>
        <w:pStyle w:val="41"/>
        <w:spacing w:before="0" w:line="460" w:lineRule="exact"/>
        <w:ind w:firstLine="480"/>
        <w:rPr>
          <w:rFonts w:ascii="宋体" w:hAnsi="宋体" w:cs="Arial"/>
          <w:szCs w:val="24"/>
        </w:rPr>
      </w:pPr>
      <w:r>
        <w:rPr>
          <w:rFonts w:ascii="宋体" w:hAnsi="宋体" w:cs="Arial"/>
          <w:szCs w:val="24"/>
        </w:rPr>
        <w:t>18.3 实质上响应要求的投标文件，应该与招标文件的规定要求、条件、条款和规范相符，无显著差异或保留。</w:t>
      </w:r>
    </w:p>
    <w:p>
      <w:pPr>
        <w:pStyle w:val="41"/>
        <w:spacing w:before="0" w:line="460" w:lineRule="exact"/>
        <w:ind w:firstLine="480"/>
        <w:rPr>
          <w:rFonts w:ascii="宋体" w:hAnsi="宋体" w:cs="Arial"/>
        </w:rPr>
      </w:pPr>
      <w:r>
        <w:rPr>
          <w:rFonts w:ascii="宋体" w:hAnsi="宋体" w:cs="Arial"/>
          <w:szCs w:val="24"/>
        </w:rPr>
        <w:t>18.4 如果投标文件实质上不响应招标文件的要求，招标人将予以</w:t>
      </w:r>
      <w:r>
        <w:rPr>
          <w:rFonts w:hint="eastAsia" w:ascii="宋体" w:hAnsi="宋体" w:cs="Arial"/>
          <w:szCs w:val="24"/>
        </w:rPr>
        <w:t>否决</w:t>
      </w:r>
      <w:r>
        <w:rPr>
          <w:rFonts w:ascii="宋体" w:hAnsi="宋体" w:cs="Arial"/>
          <w:szCs w:val="24"/>
        </w:rPr>
        <w:t>，并且不允许通过修正或</w:t>
      </w:r>
      <w:r>
        <w:rPr>
          <w:rFonts w:hint="eastAsia" w:ascii="宋体" w:hAnsi="宋体" w:cs="Arial"/>
          <w:szCs w:val="24"/>
          <w:lang w:val="en-US" w:eastAsia="zh-CN"/>
        </w:rPr>
        <w:t>撤销</w:t>
      </w:r>
      <w:r>
        <w:rPr>
          <w:rFonts w:ascii="宋体" w:hAnsi="宋体" w:cs="Arial"/>
          <w:szCs w:val="24"/>
        </w:rPr>
        <w:t>不符合要求的差异或保留，使之成为具有响应性的投标。</w:t>
      </w:r>
    </w:p>
    <w:p>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pPr>
        <w:spacing w:line="460" w:lineRule="exact"/>
        <w:jc w:val="center"/>
        <w:rPr>
          <w:rFonts w:ascii="宋体" w:hAnsi="宋体" w:cs="Arial"/>
          <w:b/>
          <w:sz w:val="32"/>
          <w:szCs w:val="32"/>
        </w:rPr>
      </w:pPr>
      <w:bookmarkStart w:id="32" w:name="_Hlt75236101"/>
      <w:bookmarkEnd w:id="32"/>
      <w:bookmarkStart w:id="33" w:name="_Toc91899902"/>
      <w:r>
        <w:rPr>
          <w:rFonts w:ascii="宋体" w:hAnsi="宋体" w:cs="Arial"/>
          <w:b/>
          <w:sz w:val="32"/>
          <w:szCs w:val="32"/>
        </w:rPr>
        <w:t>六、评标</w:t>
      </w:r>
      <w:bookmarkEnd w:id="33"/>
    </w:p>
    <w:p>
      <w:pPr>
        <w:pStyle w:val="11"/>
        <w:snapToGrid w:val="0"/>
        <w:spacing w:line="360" w:lineRule="auto"/>
        <w:rPr>
          <w:rFonts w:hAnsi="宋体" w:cs="Arial"/>
          <w:b/>
          <w:sz w:val="24"/>
          <w:szCs w:val="24"/>
        </w:rPr>
      </w:pPr>
      <w:bookmarkStart w:id="34" w:name="_Toc91899903"/>
      <w:r>
        <w:rPr>
          <w:rFonts w:hAnsi="宋体" w:cs="Arial"/>
          <w:b/>
          <w:sz w:val="24"/>
          <w:szCs w:val="24"/>
        </w:rPr>
        <w:t>19. 评标组织</w:t>
      </w:r>
    </w:p>
    <w:p>
      <w:pPr>
        <w:pStyle w:val="11"/>
        <w:snapToGrid w:val="0"/>
        <w:spacing w:line="360" w:lineRule="auto"/>
        <w:ind w:firstLine="480" w:firstLineChars="20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pPr>
        <w:pStyle w:val="11"/>
        <w:snapToGrid w:val="0"/>
        <w:spacing w:line="360" w:lineRule="auto"/>
        <w:rPr>
          <w:rFonts w:hAnsi="宋体" w:cs="Arial"/>
          <w:b/>
          <w:sz w:val="24"/>
          <w:szCs w:val="24"/>
        </w:rPr>
      </w:pPr>
      <w:r>
        <w:rPr>
          <w:rFonts w:hAnsi="宋体" w:cs="Arial"/>
          <w:b/>
          <w:sz w:val="24"/>
          <w:szCs w:val="24"/>
        </w:rPr>
        <w:t>20. 评标原则</w:t>
      </w:r>
    </w:p>
    <w:p>
      <w:pPr>
        <w:pStyle w:val="11"/>
        <w:snapToGrid w:val="0"/>
        <w:spacing w:line="360" w:lineRule="auto"/>
        <w:ind w:firstLine="480" w:firstLineChars="200"/>
        <w:rPr>
          <w:rFonts w:hAnsi="宋体" w:cs="Arial"/>
          <w:b/>
          <w:sz w:val="24"/>
          <w:szCs w:val="24"/>
        </w:rPr>
      </w:pPr>
      <w:r>
        <w:rPr>
          <w:rFonts w:hAnsi="宋体" w:cs="Arial"/>
          <w:sz w:val="24"/>
        </w:rPr>
        <w:t xml:space="preserve">20.1 </w:t>
      </w:r>
      <w:r>
        <w:rPr>
          <w:rFonts w:hAnsi="宋体" w:cs="Arial"/>
          <w:sz w:val="24"/>
          <w:szCs w:val="24"/>
        </w:rPr>
        <w:t>竞争优选；</w:t>
      </w:r>
    </w:p>
    <w:p>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pPr>
        <w:pStyle w:val="11"/>
        <w:snapToGrid w:val="0"/>
        <w:spacing w:line="360" w:lineRule="auto"/>
        <w:rPr>
          <w:rFonts w:hAnsi="宋体" w:cs="Arial"/>
          <w:b/>
          <w:sz w:val="24"/>
          <w:szCs w:val="24"/>
        </w:rPr>
      </w:pPr>
      <w:r>
        <w:rPr>
          <w:rFonts w:hAnsi="宋体" w:cs="Arial"/>
          <w:b/>
          <w:sz w:val="24"/>
          <w:szCs w:val="24"/>
        </w:rPr>
        <w:t>21. 评标办法</w:t>
      </w:r>
    </w:p>
    <w:p>
      <w:pPr>
        <w:tabs>
          <w:tab w:val="left" w:pos="0"/>
        </w:tabs>
        <w:snapToGrid w:val="0"/>
        <w:spacing w:line="360" w:lineRule="auto"/>
        <w:ind w:firstLine="480" w:firstLineChars="200"/>
        <w:rPr>
          <w:rFonts w:ascii="宋体" w:hAnsi="宋体" w:cs="Arial"/>
          <w:sz w:val="24"/>
        </w:rPr>
      </w:pPr>
      <w:r>
        <w:rPr>
          <w:rFonts w:ascii="宋体" w:hAnsi="宋体" w:cs="Arial"/>
          <w:sz w:val="24"/>
        </w:rPr>
        <w:t xml:space="preserve">21.1 </w:t>
      </w:r>
      <w:r>
        <w:rPr>
          <w:rFonts w:ascii="宋体" w:hAnsi="宋体" w:cs="Arial"/>
          <w:b/>
          <w:sz w:val="24"/>
        </w:rPr>
        <w:t>本项目采用</w:t>
      </w:r>
      <w:r>
        <w:rPr>
          <w:rFonts w:hint="eastAsia" w:ascii="宋体" w:hAnsi="宋体" w:cs="Arial"/>
          <w:b/>
          <w:sz w:val="24"/>
        </w:rPr>
        <w:t>经评审合理低价</w:t>
      </w:r>
      <w:r>
        <w:rPr>
          <w:rFonts w:ascii="宋体" w:hAnsi="宋体" w:cs="Arial"/>
          <w:b/>
          <w:sz w:val="24"/>
        </w:rPr>
        <w:t>法。</w:t>
      </w:r>
    </w:p>
    <w:p>
      <w:pPr>
        <w:tabs>
          <w:tab w:val="left" w:pos="0"/>
        </w:tabs>
        <w:snapToGrid w:val="0"/>
        <w:spacing w:line="360" w:lineRule="auto"/>
        <w:ind w:firstLine="480" w:firstLineChars="200"/>
        <w:rPr>
          <w:rFonts w:ascii="宋体" w:hAnsi="宋体" w:cs="Arial"/>
          <w:sz w:val="24"/>
        </w:rPr>
      </w:pPr>
      <w:r>
        <w:rPr>
          <w:rFonts w:hint="eastAsia" w:ascii="宋体" w:hAnsi="宋体" w:cs="Arial"/>
          <w:sz w:val="24"/>
        </w:rPr>
        <w:t>21.2</w:t>
      </w:r>
      <w:r>
        <w:rPr>
          <w:rFonts w:ascii="宋体" w:hAnsi="宋体" w:cs="Arial"/>
          <w:sz w:val="24"/>
        </w:rPr>
        <w:t xml:space="preserve"> </w:t>
      </w:r>
      <w:r>
        <w:rPr>
          <w:rFonts w:hint="eastAsia" w:ascii="宋体" w:hAnsi="宋体" w:cs="Arial"/>
          <w:sz w:val="24"/>
        </w:rPr>
        <w:t>投标文件的初审（符合性审查）</w:t>
      </w:r>
    </w:p>
    <w:p>
      <w:pPr>
        <w:tabs>
          <w:tab w:val="left" w:pos="0"/>
        </w:tabs>
        <w:snapToGrid w:val="0"/>
        <w:spacing w:line="360" w:lineRule="auto"/>
        <w:ind w:firstLine="480" w:firstLineChars="200"/>
        <w:rPr>
          <w:rFonts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乙方的权利或投标人的义务，纠正这些偏离或保留将会对其他实质性响应要求的投标人的竞争地位产生不公正的影响。评委会决定投标文件的响应性只根据投标文件本身的内容，而不寻求外部证据。</w:t>
      </w:r>
    </w:p>
    <w:p>
      <w:pPr>
        <w:tabs>
          <w:tab w:val="left" w:pos="0"/>
        </w:tabs>
        <w:snapToGrid w:val="0"/>
        <w:spacing w:line="360" w:lineRule="auto"/>
        <w:ind w:firstLine="480" w:firstLineChars="200"/>
        <w:rPr>
          <w:rFonts w:ascii="宋体" w:hAnsi="宋体" w:cs="Arial"/>
          <w:sz w:val="24"/>
        </w:rPr>
      </w:pPr>
      <w:r>
        <w:rPr>
          <w:rFonts w:hint="eastAsia" w:ascii="宋体" w:hAnsi="宋体" w:cs="Arial"/>
          <w:sz w:val="24"/>
        </w:rPr>
        <w:t>如果投标文件实质上没有响应招标文件的要求，评委会将予以否决，投标人不得通过修改或撤销不合要求的偏离或保留而使其投标成为实质性响应的投标。</w:t>
      </w:r>
    </w:p>
    <w:p>
      <w:pPr>
        <w:tabs>
          <w:tab w:val="left" w:pos="0"/>
        </w:tabs>
        <w:snapToGrid w:val="0"/>
        <w:spacing w:line="360" w:lineRule="auto"/>
        <w:ind w:firstLine="480" w:firstLineChars="200"/>
        <w:rPr>
          <w:rFonts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pPr>
        <w:tabs>
          <w:tab w:val="left" w:pos="0"/>
        </w:tabs>
        <w:snapToGrid w:val="0"/>
        <w:spacing w:line="360" w:lineRule="auto"/>
        <w:ind w:firstLine="482" w:firstLineChars="200"/>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 xml:space="preserve"> 投标文件出现下列情形之一的，由评标委员会初审后按</w:t>
      </w:r>
      <w:r>
        <w:rPr>
          <w:rFonts w:hint="eastAsia" w:ascii="宋体" w:hAnsi="宋体" w:cs="Arial"/>
          <w:b/>
          <w:sz w:val="24"/>
        </w:rPr>
        <w:t>否决</w:t>
      </w:r>
      <w:r>
        <w:rPr>
          <w:rFonts w:ascii="宋体" w:hAnsi="宋体" w:cs="Arial"/>
          <w:b/>
          <w:sz w:val="24"/>
        </w:rPr>
        <w:t>处理：</w:t>
      </w:r>
    </w:p>
    <w:p>
      <w:pPr>
        <w:tabs>
          <w:tab w:val="left" w:pos="0"/>
        </w:tabs>
        <w:snapToGrid w:val="0"/>
        <w:spacing w:line="360" w:lineRule="auto"/>
        <w:ind w:firstLine="482" w:firstLineChars="200"/>
        <w:rPr>
          <w:rFonts w:ascii="宋体" w:hAnsi="宋体" w:cs="Arial"/>
          <w:b/>
          <w:sz w:val="24"/>
        </w:rPr>
      </w:pPr>
      <w:r>
        <w:rPr>
          <w:rFonts w:hint="eastAsia" w:ascii="宋体" w:hAnsi="宋体" w:cs="Arial"/>
          <w:b/>
          <w:sz w:val="24"/>
        </w:rPr>
        <w:t>（1）</w:t>
      </w:r>
      <w:r>
        <w:rPr>
          <w:rFonts w:ascii="宋体" w:hAnsi="宋体" w:cs="Arial"/>
          <w:b/>
          <w:sz w:val="24"/>
        </w:rPr>
        <w:t>投标文件有关内容未按招标文件规定加盖投标人公章或未经法定代表人或其委托代理人签字，由委托代理人签字未随投标文件一起提供有效的“授权委托书”原件；</w:t>
      </w:r>
    </w:p>
    <w:p>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（2）</w:t>
      </w:r>
      <w:r>
        <w:rPr>
          <w:rFonts w:ascii="宋体" w:hAnsi="宋体" w:cs="Arial"/>
          <w:b/>
          <w:sz w:val="24"/>
        </w:rPr>
        <w:t>投标文件未按规定的格式填写，内容不全或关键字迹模糊、无法辨认的；</w:t>
      </w:r>
    </w:p>
    <w:p>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（3）</w:t>
      </w:r>
      <w:r>
        <w:rPr>
          <w:rFonts w:ascii="宋体" w:hAnsi="宋体" w:cs="Arial"/>
          <w:b/>
          <w:sz w:val="24"/>
        </w:rPr>
        <w:t>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具有投资参股关系的关联企业，或具有直接管理和被管理关系的母子公司，或同一母公司的子公司，或法定代表人为同一人的两个及两个以上法人不得同时参与投标；</w:t>
      </w:r>
    </w:p>
    <w:p>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（4）投标人资格不满足招标文件规定的；</w:t>
      </w:r>
    </w:p>
    <w:p>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（5）</w:t>
      </w:r>
      <w:r>
        <w:rPr>
          <w:rFonts w:ascii="宋体" w:hAnsi="宋体" w:cs="Arial"/>
          <w:b/>
          <w:sz w:val="24"/>
        </w:rPr>
        <w:t>法律、法规、规章或招标文件规定的其它无效标情况的。</w:t>
      </w:r>
    </w:p>
    <w:p>
      <w:pPr>
        <w:tabs>
          <w:tab w:val="left" w:pos="0"/>
        </w:tabs>
        <w:snapToGrid w:val="0"/>
        <w:spacing w:line="360" w:lineRule="auto"/>
        <w:ind w:firstLine="480" w:firstLineChars="200"/>
        <w:rPr>
          <w:rFonts w:ascii="宋体" w:hAnsi="宋体" w:cs="Arial"/>
          <w:sz w:val="24"/>
        </w:rPr>
      </w:pPr>
      <w:r>
        <w:rPr>
          <w:rFonts w:ascii="宋体" w:hAnsi="宋体" w:cs="Arial"/>
          <w:sz w:val="24"/>
        </w:rPr>
        <w:t>21.</w:t>
      </w:r>
      <w:r>
        <w:rPr>
          <w:rFonts w:hint="eastAsia" w:ascii="宋体" w:hAnsi="宋体" w:cs="Arial"/>
          <w:sz w:val="24"/>
        </w:rPr>
        <w:t>4</w:t>
      </w:r>
      <w:r>
        <w:rPr>
          <w:rFonts w:ascii="宋体" w:hAnsi="宋体" w:cs="Arial"/>
          <w:sz w:val="24"/>
        </w:rPr>
        <w:t xml:space="preserve"> </w:t>
      </w:r>
      <w:r>
        <w:rPr>
          <w:rFonts w:hint="eastAsia" w:ascii="宋体" w:hAnsi="宋体" w:cs="Arial"/>
          <w:sz w:val="24"/>
        </w:rPr>
        <w:t>投标文件的技术评审</w:t>
      </w:r>
    </w:p>
    <w:p>
      <w:pPr>
        <w:tabs>
          <w:tab w:val="left" w:pos="0"/>
        </w:tabs>
        <w:snapToGrid w:val="0"/>
        <w:spacing w:line="360" w:lineRule="auto"/>
        <w:ind w:firstLine="480" w:firstLineChars="200"/>
        <w:rPr>
          <w:rFonts w:ascii="宋体" w:hAnsi="宋体" w:cs="Arial"/>
          <w:sz w:val="24"/>
        </w:rPr>
      </w:pPr>
      <w:r>
        <w:rPr>
          <w:rFonts w:hint="eastAsia" w:ascii="宋体" w:hAnsi="宋体" w:cs="Arial"/>
          <w:sz w:val="24"/>
        </w:rPr>
        <w:t>评标委员会就</w:t>
      </w:r>
      <w:r>
        <w:rPr>
          <w:rFonts w:ascii="宋体" w:hAnsi="宋体" w:cs="Arial"/>
          <w:sz w:val="24"/>
        </w:rPr>
        <w:t>通过符合性检查的所有有效</w:t>
      </w:r>
      <w:r>
        <w:rPr>
          <w:rFonts w:hint="eastAsia" w:ascii="宋体" w:hAnsi="宋体" w:cs="Arial"/>
          <w:sz w:val="24"/>
        </w:rPr>
        <w:t>报价</w:t>
      </w:r>
      <w:r>
        <w:rPr>
          <w:rFonts w:ascii="宋体" w:hAnsi="宋体" w:cs="Arial"/>
          <w:sz w:val="24"/>
        </w:rPr>
        <w:t>进行</w:t>
      </w:r>
      <w:r>
        <w:rPr>
          <w:rFonts w:hint="eastAsia" w:ascii="宋体" w:hAnsi="宋体" w:cs="Arial"/>
          <w:sz w:val="24"/>
        </w:rPr>
        <w:t>技术</w:t>
      </w:r>
      <w:r>
        <w:rPr>
          <w:rFonts w:ascii="宋体" w:hAnsi="宋体" w:cs="Arial"/>
          <w:sz w:val="24"/>
        </w:rPr>
        <w:t>评审</w:t>
      </w:r>
      <w:r>
        <w:rPr>
          <w:rFonts w:hint="eastAsia" w:ascii="宋体" w:hAnsi="宋体" w:cs="Arial"/>
          <w:sz w:val="24"/>
        </w:rPr>
        <w:t>，技术评审采用合格通过制</w:t>
      </w:r>
      <w:r>
        <w:rPr>
          <w:rFonts w:ascii="宋体" w:hAnsi="宋体" w:cs="Arial"/>
          <w:sz w:val="24"/>
        </w:rPr>
        <w:t>。</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0"/>
        <w:gridCol w:w="1329"/>
        <w:gridCol w:w="71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b/>
              </w:rPr>
            </w:pPr>
            <w:r>
              <w:rPr>
                <w:rFonts w:hint="eastAsia" w:ascii="宋体" w:hAnsi="宋体"/>
                <w:b/>
              </w:rPr>
              <w:t>序号</w:t>
            </w:r>
          </w:p>
        </w:tc>
        <w:tc>
          <w:tcPr>
            <w:tcW w:w="711" w:type="pct"/>
            <w:tcBorders>
              <w:left w:val="single" w:color="auto" w:sz="4" w:space="0"/>
            </w:tcBorders>
            <w:vAlign w:val="center"/>
          </w:tcPr>
          <w:p>
            <w:pPr>
              <w:snapToGrid w:val="0"/>
              <w:jc w:val="center"/>
              <w:rPr>
                <w:rFonts w:ascii="宋体" w:hAnsi="宋体"/>
                <w:b/>
              </w:rPr>
            </w:pPr>
            <w:r>
              <w:rPr>
                <w:rFonts w:ascii="宋体" w:hAnsi="宋体"/>
                <w:b/>
              </w:rPr>
              <w:t>项目</w:t>
            </w:r>
          </w:p>
        </w:tc>
        <w:tc>
          <w:tcPr>
            <w:tcW w:w="3850" w:type="pct"/>
            <w:vAlign w:val="center"/>
          </w:tcPr>
          <w:p>
            <w:pPr>
              <w:snapToGrid w:val="0"/>
              <w:jc w:val="center"/>
              <w:rPr>
                <w:rFonts w:ascii="宋体" w:hAnsi="宋体"/>
                <w:b/>
              </w:rPr>
            </w:pPr>
            <w:r>
              <w:rPr>
                <w:rFonts w:ascii="宋体" w:hAnsi="宋体"/>
                <w:b/>
                <w:szCs w:val="21"/>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rPr>
            </w:pPr>
            <w:r>
              <w:rPr>
                <w:rFonts w:hint="eastAsia" w:ascii="宋体" w:hAnsi="宋体"/>
              </w:rPr>
              <w:t>1</w:t>
            </w:r>
          </w:p>
        </w:tc>
        <w:tc>
          <w:tcPr>
            <w:tcW w:w="711" w:type="pct"/>
            <w:tcBorders>
              <w:left w:val="single" w:color="auto" w:sz="4" w:space="0"/>
            </w:tcBorders>
            <w:vAlign w:val="center"/>
          </w:tcPr>
          <w:p>
            <w:pPr>
              <w:snapToGrid w:val="0"/>
              <w:jc w:val="center"/>
              <w:rPr>
                <w:rFonts w:ascii="宋体" w:hAnsi="宋体"/>
              </w:rPr>
            </w:pPr>
            <w:r>
              <w:rPr>
                <w:rFonts w:ascii="宋体" w:hAnsi="宋体"/>
              </w:rPr>
              <w:t>技术资料</w:t>
            </w:r>
          </w:p>
        </w:tc>
        <w:tc>
          <w:tcPr>
            <w:tcW w:w="3850" w:type="pct"/>
            <w:vAlign w:val="center"/>
          </w:tcPr>
          <w:p>
            <w:pPr>
              <w:snapToGrid w:val="0"/>
              <w:rPr>
                <w:rFonts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rPr>
            </w:pPr>
            <w:r>
              <w:rPr>
                <w:rFonts w:hint="eastAsia" w:ascii="宋体" w:hAnsi="宋体"/>
              </w:rPr>
              <w:t>2</w:t>
            </w:r>
          </w:p>
        </w:tc>
        <w:tc>
          <w:tcPr>
            <w:tcW w:w="711" w:type="pct"/>
            <w:tcBorders>
              <w:left w:val="single" w:color="auto" w:sz="4" w:space="0"/>
            </w:tcBorders>
            <w:vAlign w:val="center"/>
          </w:tcPr>
          <w:p>
            <w:pPr>
              <w:snapToGrid w:val="0"/>
              <w:jc w:val="center"/>
              <w:rPr>
                <w:rFonts w:ascii="宋体" w:hAnsi="宋体"/>
              </w:rPr>
            </w:pPr>
            <w:r>
              <w:rPr>
                <w:rFonts w:hint="eastAsia" w:ascii="宋体" w:hAnsi="宋体"/>
              </w:rPr>
              <w:t>服务人员</w:t>
            </w:r>
          </w:p>
        </w:tc>
        <w:tc>
          <w:tcPr>
            <w:tcW w:w="3850" w:type="pct"/>
            <w:vAlign w:val="center"/>
          </w:tcPr>
          <w:p>
            <w:pPr>
              <w:snapToGrid w:val="0"/>
              <w:rPr>
                <w:rFonts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jc w:val="center"/>
              <w:rPr>
                <w:rFonts w:ascii="宋体" w:hAnsi="宋体"/>
              </w:rPr>
            </w:pPr>
            <w:r>
              <w:rPr>
                <w:rFonts w:hint="eastAsia" w:ascii="宋体" w:hAnsi="宋体"/>
              </w:rPr>
              <w:t>3</w:t>
            </w:r>
          </w:p>
        </w:tc>
        <w:tc>
          <w:tcPr>
            <w:tcW w:w="711" w:type="pct"/>
            <w:tcBorders>
              <w:left w:val="single" w:color="auto" w:sz="4" w:space="0"/>
            </w:tcBorders>
            <w:vAlign w:val="center"/>
          </w:tcPr>
          <w:p>
            <w:pPr>
              <w:jc w:val="center"/>
              <w:rPr>
                <w:rFonts w:ascii="宋体" w:hAnsi="宋体"/>
              </w:rPr>
            </w:pPr>
            <w:r>
              <w:rPr>
                <w:rFonts w:hint="eastAsia" w:ascii="宋体" w:hAnsi="宋体"/>
              </w:rPr>
              <w:t>服务方案</w:t>
            </w:r>
          </w:p>
        </w:tc>
        <w:tc>
          <w:tcPr>
            <w:tcW w:w="3850" w:type="pct"/>
            <w:vAlign w:val="center"/>
          </w:tcPr>
          <w:p>
            <w:pPr>
              <w:rPr>
                <w:rFonts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pPr>
        <w:tabs>
          <w:tab w:val="left" w:pos="0"/>
        </w:tabs>
        <w:snapToGrid w:val="0"/>
        <w:spacing w:line="360" w:lineRule="auto"/>
        <w:ind w:firstLine="540" w:firstLineChars="225"/>
        <w:rPr>
          <w:rFonts w:ascii="宋体" w:hAnsi="宋体" w:cs="Arial"/>
          <w:sz w:val="24"/>
        </w:rPr>
      </w:pPr>
      <w:r>
        <w:rPr>
          <w:rFonts w:ascii="宋体" w:hAnsi="宋体" w:cs="Arial"/>
          <w:sz w:val="24"/>
        </w:rPr>
        <w:t>21.5</w:t>
      </w:r>
      <w:r>
        <w:rPr>
          <w:rFonts w:hint="eastAsia" w:ascii="宋体" w:hAnsi="宋体" w:cs="Arial"/>
          <w:sz w:val="24"/>
        </w:rPr>
        <w:t>投标文件的商务评审</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如商务报价中有以下情况之一的，按商务评审不合格处理：</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（1）投标人未按招标文件实质性规定要求进行报价，拒绝修正不平衡报价，拒绝提供报价分析说明和证明材料的；</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（2）评标委员会认定属投标人自身原因有重大漏项的。</w:t>
      </w:r>
    </w:p>
    <w:p>
      <w:pPr>
        <w:pStyle w:val="41"/>
        <w:snapToGrid w:val="0"/>
        <w:spacing w:before="0"/>
        <w:ind w:firstLine="482" w:firstLineChars="200"/>
        <w:rPr>
          <w:rFonts w:ascii="宋体" w:hAnsi="宋体" w:cs="Arial"/>
          <w:b/>
        </w:rPr>
      </w:pPr>
      <w:r>
        <w:rPr>
          <w:rFonts w:cs="Arial"/>
          <w:b/>
          <w:bCs/>
          <w:sz w:val="24"/>
        </w:rPr>
        <w:t>21.6</w:t>
      </w:r>
      <w:r>
        <w:rPr>
          <w:rFonts w:hint="eastAsia" w:cs="Arial"/>
          <w:b/>
          <w:bCs/>
          <w:sz w:val="24"/>
        </w:rPr>
        <w:t xml:space="preserve"> </w:t>
      </w:r>
      <w:bookmarkEnd w:id="34"/>
      <w:bookmarkStart w:id="35" w:name="_Toc86216994"/>
      <w:r>
        <w:rPr>
          <w:rFonts w:hint="eastAsia" w:cs="Arial"/>
          <w:b/>
          <w:bCs/>
          <w:sz w:val="24"/>
        </w:rPr>
        <w:t>通过以上审查后的所有有效投标人中评标价最低的将被推荐为第一中标候选人，评标价次低的将被推荐为第二中标候选人。</w:t>
      </w:r>
    </w:p>
    <w:p>
      <w:pPr>
        <w:pStyle w:val="41"/>
        <w:snapToGrid w:val="0"/>
        <w:spacing w:before="0"/>
        <w:ind w:firstLine="0" w:firstLineChars="0"/>
        <w:rPr>
          <w:rFonts w:ascii="宋体" w:hAnsi="宋体" w:cs="Arial"/>
          <w:b/>
        </w:rPr>
      </w:pPr>
      <w:r>
        <w:rPr>
          <w:rFonts w:ascii="宋体" w:hAnsi="宋体" w:cs="Arial"/>
          <w:b/>
        </w:rPr>
        <w:t>22. 评标内容的保密</w:t>
      </w:r>
    </w:p>
    <w:p>
      <w:pPr>
        <w:pStyle w:val="41"/>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pPr>
        <w:pStyle w:val="41"/>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pPr>
        <w:pStyle w:val="41"/>
        <w:snapToGrid w:val="0"/>
        <w:spacing w:before="0"/>
        <w:ind w:firstLine="0" w:firstLineChars="0"/>
        <w:rPr>
          <w:rFonts w:ascii="宋体" w:hAnsi="宋体" w:cs="Arial"/>
          <w:b/>
        </w:rPr>
      </w:pPr>
      <w:r>
        <w:rPr>
          <w:rFonts w:ascii="宋体" w:hAnsi="宋体" w:cs="Arial"/>
          <w:b/>
        </w:rPr>
        <w:t>23. 投标文件的澄清</w:t>
      </w:r>
    </w:p>
    <w:p>
      <w:pPr>
        <w:pStyle w:val="41"/>
        <w:snapToGrid w:val="0"/>
        <w:spacing w:before="0"/>
        <w:ind w:firstLine="480"/>
        <w:rPr>
          <w:rFonts w:ascii="宋体" w:hAnsi="宋体" w:cs="Arial"/>
        </w:rPr>
      </w:pPr>
      <w:r>
        <w:rPr>
          <w:rFonts w:hint="eastAsia" w:ascii="宋体" w:hAnsi="宋体" w:cs="Arial"/>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pPr>
        <w:pStyle w:val="9"/>
        <w:snapToGrid w:val="0"/>
        <w:spacing w:line="360" w:lineRule="auto"/>
        <w:ind w:firstLineChars="0"/>
        <w:rPr>
          <w:rFonts w:ascii="宋体" w:hAnsi="宋体" w:cs="Arial"/>
          <w:b/>
        </w:rPr>
      </w:pPr>
      <w:r>
        <w:rPr>
          <w:rFonts w:ascii="宋体" w:hAnsi="宋体" w:cs="Arial"/>
          <w:b/>
        </w:rPr>
        <w:t xml:space="preserve">24. </w:t>
      </w:r>
      <w:r>
        <w:rPr>
          <w:rFonts w:hint="eastAsia" w:ascii="宋体" w:hAnsi="宋体" w:cs="Arial"/>
          <w:b/>
        </w:rPr>
        <w:t>招标失败</w:t>
      </w:r>
    </w:p>
    <w:p>
      <w:pPr>
        <w:pStyle w:val="41"/>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pPr>
        <w:pStyle w:val="41"/>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pPr>
        <w:pStyle w:val="41"/>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pPr>
        <w:pStyle w:val="41"/>
        <w:snapToGrid w:val="0"/>
        <w:spacing w:before="0"/>
        <w:ind w:firstLine="482"/>
        <w:rPr>
          <w:rFonts w:ascii="宋体" w:hAnsi="宋体" w:cs="Arial"/>
          <w:b/>
        </w:rPr>
      </w:pPr>
      <w:r>
        <w:rPr>
          <w:rFonts w:ascii="宋体" w:hAnsi="宋体" w:cs="Arial"/>
          <w:b/>
        </w:rPr>
        <w:t>（3）因重大变故，采购任务取消的。</w:t>
      </w:r>
    </w:p>
    <w:p>
      <w:pPr>
        <w:pStyle w:val="41"/>
        <w:snapToGrid w:val="0"/>
        <w:spacing w:before="0"/>
        <w:ind w:firstLine="482"/>
        <w:rPr>
          <w:rFonts w:ascii="宋体" w:hAnsi="宋体" w:cs="Arial"/>
        </w:rPr>
      </w:pPr>
      <w:r>
        <w:rPr>
          <w:rFonts w:hint="eastAsia" w:ascii="宋体" w:hAnsi="宋体" w:cs="Arial"/>
          <w:b/>
        </w:rPr>
        <w:t>但如出现前款第一项“</w:t>
      </w:r>
      <w:r>
        <w:rPr>
          <w:rFonts w:ascii="宋体" w:hAnsi="宋体" w:cs="Arial"/>
          <w:b/>
        </w:rPr>
        <w:t>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r>
        <w:rPr>
          <w:rFonts w:hint="eastAsia" w:ascii="宋体" w:hAnsi="宋体" w:cs="Arial"/>
          <w:b/>
        </w:rPr>
        <w:t>”情况时，由评标委员会认定有效投标人的报价是否具有竞争性，如评标委员会认定有效投标人的报价均不具有竞争性，可拒绝全部投标，否则，可按招标文件载明的评标办法继续评审。</w:t>
      </w: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r>
        <w:rPr>
          <w:rFonts w:ascii="宋体" w:hAnsi="宋体" w:cs="Arial"/>
          <w:b/>
          <w:sz w:val="32"/>
          <w:szCs w:val="32"/>
        </w:rPr>
        <w:t>七、定标</w:t>
      </w:r>
      <w:bookmarkEnd w:id="35"/>
    </w:p>
    <w:p>
      <w:pPr>
        <w:pStyle w:val="9"/>
        <w:spacing w:line="360" w:lineRule="auto"/>
        <w:ind w:firstLineChars="0"/>
        <w:rPr>
          <w:rFonts w:ascii="宋体" w:hAnsi="宋体" w:cs="Arial"/>
          <w:b/>
        </w:rPr>
      </w:pPr>
      <w:r>
        <w:rPr>
          <w:rFonts w:ascii="宋体" w:hAnsi="宋体" w:cs="Arial"/>
          <w:b/>
        </w:rPr>
        <w:t>25. 定标</w:t>
      </w:r>
    </w:p>
    <w:p>
      <w:pPr>
        <w:spacing w:line="460" w:lineRule="exact"/>
        <w:ind w:firstLine="482" w:firstLineChars="200"/>
        <w:rPr>
          <w:rFonts w:ascii="宋体" w:hAnsi="宋体" w:cs="Arial"/>
          <w:b/>
          <w:sz w:val="24"/>
        </w:rPr>
      </w:pPr>
      <w:bookmarkStart w:id="36" w:name="_Hlt75236103"/>
      <w:bookmarkEnd w:id="36"/>
      <w:bookmarkStart w:id="37" w:name="_Toc86216995"/>
      <w:bookmarkStart w:id="38" w:name="_Toc91899910"/>
      <w:r>
        <w:rPr>
          <w:rFonts w:ascii="宋体" w:hAnsi="宋体" w:cs="Arial"/>
          <w:b/>
          <w:sz w:val="24"/>
        </w:rPr>
        <w:t>评标委员会将根据招标文件和有关规定，履行评标工作职责，以评标原则和评标办法为标准，全面衡量各投标人对招标文件的响应情况。</w:t>
      </w:r>
      <w:r>
        <w:rPr>
          <w:rFonts w:hint="eastAsia" w:ascii="宋体" w:hAnsi="宋体" w:cs="Arial"/>
          <w:b/>
          <w:sz w:val="24"/>
        </w:rPr>
        <w:t>招标人根据相关法规规定</w:t>
      </w:r>
      <w:r>
        <w:rPr>
          <w:rFonts w:ascii="宋体" w:hAnsi="宋体" w:cs="Arial"/>
          <w:b/>
          <w:sz w:val="24"/>
        </w:rPr>
        <w:t>，确定</w:t>
      </w:r>
      <w:r>
        <w:rPr>
          <w:rFonts w:hint="eastAsia" w:ascii="宋体" w:hAnsi="宋体" w:cs="Arial"/>
          <w:b/>
          <w:sz w:val="24"/>
        </w:rPr>
        <w:t>排名第一的中标候选人为本项目</w:t>
      </w:r>
      <w:r>
        <w:rPr>
          <w:rFonts w:ascii="宋体" w:hAnsi="宋体" w:cs="Arial"/>
          <w:b/>
          <w:sz w:val="24"/>
        </w:rPr>
        <w:t>中标人。</w:t>
      </w:r>
    </w:p>
    <w:p>
      <w:pPr>
        <w:spacing w:line="460" w:lineRule="exact"/>
        <w:ind w:firstLine="480" w:firstLineChars="200"/>
        <w:rPr>
          <w:rFonts w:ascii="宋体" w:hAnsi="宋体" w:cs="Arial"/>
          <w:sz w:val="24"/>
        </w:rPr>
      </w:pPr>
    </w:p>
    <w:p>
      <w:pPr>
        <w:spacing w:line="460" w:lineRule="exact"/>
        <w:jc w:val="center"/>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pPr>
        <w:tabs>
          <w:tab w:val="left" w:pos="0"/>
        </w:tabs>
        <w:spacing w:line="460" w:lineRule="exact"/>
        <w:rPr>
          <w:rFonts w:ascii="宋体" w:hAnsi="宋体" w:cs="Arial"/>
          <w:b/>
          <w:sz w:val="24"/>
        </w:rPr>
      </w:pPr>
      <w:r>
        <w:rPr>
          <w:rFonts w:ascii="宋体" w:hAnsi="宋体" w:cs="Arial"/>
          <w:b/>
          <w:sz w:val="24"/>
        </w:rPr>
        <w:t>26．</w:t>
      </w:r>
      <w:r>
        <w:rPr>
          <w:rFonts w:hint="eastAsia" w:ascii="宋体" w:hAnsi="宋体" w:cs="Arial"/>
          <w:b/>
          <w:sz w:val="24"/>
        </w:rPr>
        <w:t xml:space="preserve"> </w:t>
      </w:r>
      <w:r>
        <w:rPr>
          <w:rFonts w:ascii="宋体" w:hAnsi="宋体" w:cs="Arial"/>
          <w:b/>
          <w:sz w:val="24"/>
        </w:rPr>
        <w:t>中标书</w:t>
      </w:r>
    </w:p>
    <w:p>
      <w:pPr>
        <w:pStyle w:val="41"/>
        <w:tabs>
          <w:tab w:val="left" w:pos="0"/>
        </w:tabs>
        <w:spacing w:before="0" w:line="460" w:lineRule="exact"/>
        <w:ind w:firstLine="480"/>
        <w:rPr>
          <w:rFonts w:ascii="宋体" w:hAnsi="宋体" w:cs="Arial"/>
        </w:rPr>
      </w:pPr>
      <w:r>
        <w:rPr>
          <w:rFonts w:ascii="宋体" w:hAnsi="宋体" w:cs="Arial"/>
        </w:rPr>
        <w:t>26.1确定中标人后，招标人</w:t>
      </w:r>
      <w:r>
        <w:rPr>
          <w:rFonts w:hint="eastAsia" w:ascii="宋体" w:hAnsi="宋体" w:cs="Arial"/>
        </w:rPr>
        <w:t>应向中标单位发出中标通知书</w:t>
      </w:r>
      <w:r>
        <w:rPr>
          <w:rFonts w:ascii="宋体" w:hAnsi="宋体" w:cs="Arial"/>
        </w:rPr>
        <w:t>。</w:t>
      </w:r>
    </w:p>
    <w:p>
      <w:pPr>
        <w:pStyle w:val="41"/>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pPr>
        <w:pStyle w:val="41"/>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pPr>
        <w:pStyle w:val="11"/>
        <w:spacing w:line="460" w:lineRule="exact"/>
        <w:ind w:firstLine="540"/>
        <w:rPr>
          <w:rFonts w:hAnsi="宋体" w:cs="Arial"/>
          <w:sz w:val="24"/>
        </w:rPr>
      </w:pPr>
      <w:r>
        <w:rPr>
          <w:rFonts w:hAnsi="宋体" w:cs="Arial"/>
          <w:sz w:val="24"/>
        </w:rPr>
        <w:t>26.4在中标人签订合同并生效后，招标人及时将未中标的结果通知其他投标人。</w:t>
      </w:r>
    </w:p>
    <w:p>
      <w:pPr>
        <w:tabs>
          <w:tab w:val="left" w:pos="0"/>
        </w:tabs>
        <w:spacing w:line="460" w:lineRule="exact"/>
        <w:rPr>
          <w:rFonts w:ascii="宋体" w:hAnsi="宋体" w:cs="Arial"/>
          <w:b/>
          <w:sz w:val="24"/>
        </w:rPr>
      </w:pPr>
      <w:r>
        <w:rPr>
          <w:rFonts w:ascii="宋体" w:hAnsi="宋体" w:cs="Arial"/>
          <w:b/>
          <w:sz w:val="24"/>
        </w:rPr>
        <w:t>27．</w:t>
      </w:r>
      <w:r>
        <w:rPr>
          <w:rFonts w:hint="eastAsia" w:ascii="宋体" w:hAnsi="宋体" w:cs="Arial"/>
          <w:b/>
          <w:sz w:val="24"/>
        </w:rPr>
        <w:t xml:space="preserve"> </w:t>
      </w:r>
      <w:r>
        <w:rPr>
          <w:rFonts w:ascii="宋体" w:hAnsi="宋体" w:cs="Arial"/>
          <w:b/>
          <w:sz w:val="24"/>
        </w:rPr>
        <w:t>合同的签订</w:t>
      </w:r>
    </w:p>
    <w:p>
      <w:pPr>
        <w:pStyle w:val="41"/>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pPr>
        <w:tabs>
          <w:tab w:val="left" w:pos="0"/>
        </w:tabs>
        <w:spacing w:line="460" w:lineRule="exact"/>
        <w:rPr>
          <w:rFonts w:ascii="宋体" w:hAnsi="宋体" w:cs="Arial"/>
          <w:b/>
          <w:sz w:val="24"/>
        </w:rPr>
      </w:pPr>
      <w:r>
        <w:rPr>
          <w:rFonts w:ascii="宋体" w:hAnsi="宋体" w:cs="Arial"/>
          <w:b/>
          <w:sz w:val="24"/>
        </w:rPr>
        <w:t>28．</w:t>
      </w:r>
      <w:r>
        <w:rPr>
          <w:rFonts w:hint="eastAsia" w:ascii="宋体" w:hAnsi="宋体" w:cs="Arial"/>
          <w:b/>
          <w:sz w:val="24"/>
        </w:rPr>
        <w:t xml:space="preserve"> </w:t>
      </w:r>
      <w:r>
        <w:rPr>
          <w:rFonts w:ascii="宋体" w:hAnsi="宋体" w:cs="Arial"/>
          <w:b/>
          <w:sz w:val="24"/>
        </w:rPr>
        <w:t>履约保证金</w:t>
      </w:r>
    </w:p>
    <w:p>
      <w:pPr>
        <w:pStyle w:val="41"/>
        <w:spacing w:before="0" w:line="460" w:lineRule="exact"/>
        <w:ind w:firstLine="480"/>
        <w:rPr>
          <w:rFonts w:ascii="宋体" w:hAnsi="宋体" w:cs="Arial"/>
        </w:rPr>
      </w:pPr>
      <w:r>
        <w:rPr>
          <w:rFonts w:hint="eastAsia" w:ascii="宋体" w:hAnsi="宋体" w:cs="Arial"/>
        </w:rPr>
        <w:t>无。</w:t>
      </w:r>
    </w:p>
    <w:p>
      <w:pPr>
        <w:pStyle w:val="41"/>
        <w:spacing w:before="0" w:line="460" w:lineRule="exact"/>
        <w:ind w:firstLine="0" w:firstLineChars="0"/>
        <w:rPr>
          <w:rFonts w:ascii="宋体" w:hAnsi="宋体" w:cs="Arial"/>
          <w:b/>
          <w:szCs w:val="24"/>
        </w:rPr>
      </w:pPr>
      <w:r>
        <w:rPr>
          <w:rFonts w:ascii="宋体" w:hAnsi="宋体" w:cs="Arial"/>
          <w:b/>
          <w:szCs w:val="24"/>
        </w:rPr>
        <w:t>29</w:t>
      </w:r>
      <w:r>
        <w:rPr>
          <w:rFonts w:ascii="宋体" w:hAnsi="宋体" w:cs="Arial"/>
          <w:b/>
        </w:rPr>
        <w:t>．</w:t>
      </w:r>
      <w:r>
        <w:rPr>
          <w:rFonts w:ascii="宋体" w:hAnsi="宋体" w:cs="Arial"/>
          <w:b/>
          <w:szCs w:val="24"/>
        </w:rPr>
        <w:t xml:space="preserve"> 结算方式</w:t>
      </w:r>
    </w:p>
    <w:p>
      <w:pPr>
        <w:pStyle w:val="11"/>
        <w:spacing w:line="460" w:lineRule="exact"/>
        <w:ind w:firstLine="480" w:firstLineChars="200"/>
        <w:jc w:val="both"/>
        <w:rPr>
          <w:rFonts w:hAnsi="宋体" w:cs="Arial"/>
          <w:sz w:val="24"/>
        </w:rPr>
      </w:pPr>
      <w:r>
        <w:rPr>
          <w:rFonts w:hint="eastAsia" w:hAnsi="宋体" w:cs="Arial"/>
          <w:sz w:val="24"/>
        </w:rPr>
        <w:t>详见合同条款。</w:t>
      </w:r>
    </w:p>
    <w:p>
      <w:pPr>
        <w:autoSpaceDE w:val="0"/>
        <w:autoSpaceDN w:val="0"/>
        <w:adjustRightInd w:val="0"/>
        <w:spacing w:line="460" w:lineRule="exact"/>
        <w:rPr>
          <w:rFonts w:ascii="宋体" w:hAnsi="宋体" w:cs="Arial"/>
          <w:sz w:val="24"/>
        </w:rPr>
      </w:pPr>
      <w:r>
        <w:rPr>
          <w:rFonts w:ascii="宋体" w:hAnsi="宋体" w:cs="Arial"/>
          <w:b/>
          <w:sz w:val="24"/>
        </w:rPr>
        <w:t>30．</w:t>
      </w:r>
      <w:r>
        <w:rPr>
          <w:rFonts w:hint="eastAsia" w:ascii="宋体" w:hAnsi="宋体" w:cs="Arial"/>
          <w:b/>
          <w:sz w:val="24"/>
        </w:rPr>
        <w:t xml:space="preserve"> </w:t>
      </w:r>
      <w:r>
        <w:rPr>
          <w:rFonts w:ascii="宋体" w:hAnsi="宋体" w:cs="Arial"/>
          <w:b/>
          <w:sz w:val="24"/>
        </w:rPr>
        <w:t>解释权</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t>第三部分   采购需求和</w:t>
      </w:r>
      <w:r>
        <w:rPr>
          <w:rFonts w:hint="eastAsia" w:ascii="宋体" w:hAnsi="宋体" w:cs="Arial"/>
          <w:b/>
          <w:bCs/>
          <w:sz w:val="36"/>
        </w:rPr>
        <w:t>技术</w:t>
      </w:r>
      <w:r>
        <w:rPr>
          <w:rFonts w:ascii="宋体" w:hAnsi="宋体" w:cs="Arial"/>
          <w:b/>
          <w:bCs/>
          <w:sz w:val="36"/>
        </w:rPr>
        <w:t>要求</w:t>
      </w:r>
    </w:p>
    <w:p>
      <w:pPr>
        <w:pStyle w:val="41"/>
        <w:snapToGrid w:val="0"/>
        <w:spacing w:before="0"/>
        <w:ind w:firstLine="0" w:firstLineChars="0"/>
        <w:rPr>
          <w:rFonts w:ascii="宋体" w:hAnsi="宋体" w:cs="Arial"/>
          <w:b/>
        </w:rPr>
      </w:pPr>
      <w:bookmarkStart w:id="39" w:name="_Toc344384219"/>
      <w:bookmarkStart w:id="40" w:name="_Toc228002620"/>
      <w:bookmarkStart w:id="41" w:name="_Toc155322445"/>
      <w:bookmarkStart w:id="42" w:name="_Toc243928845"/>
      <w:r>
        <w:rPr>
          <w:rFonts w:hint="eastAsia" w:ascii="宋体" w:hAnsi="宋体" w:cs="Arial"/>
          <w:b/>
        </w:rPr>
        <w:t>一、</w:t>
      </w:r>
      <w:bookmarkEnd w:id="39"/>
      <w:bookmarkEnd w:id="40"/>
      <w:bookmarkEnd w:id="41"/>
      <w:bookmarkEnd w:id="42"/>
      <w:r>
        <w:rPr>
          <w:rFonts w:hint="eastAsia" w:ascii="宋体" w:hAnsi="宋体" w:cs="Arial"/>
          <w:b/>
        </w:rPr>
        <w:t>项目简介</w:t>
      </w:r>
    </w:p>
    <w:p>
      <w:pPr>
        <w:pStyle w:val="53"/>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扩大杭嘉湖南排后续西部通道（南北线）工程南段设计采购施工(EPC)总承包</w:t>
      </w:r>
      <w:r>
        <w:rPr>
          <w:rFonts w:hint="eastAsia" w:ascii="宋体" w:hAnsi="宋体" w:eastAsia="宋体" w:cs="宋体"/>
          <w:color w:val="auto"/>
          <w:sz w:val="24"/>
          <w:szCs w:val="24"/>
          <w:lang w:eastAsia="zh-CN"/>
        </w:rPr>
        <w:t>项目因工程施工需要，需采购</w:t>
      </w:r>
      <w:r>
        <w:rPr>
          <w:rFonts w:hint="eastAsia" w:cs="宋体"/>
          <w:color w:val="auto"/>
          <w:sz w:val="24"/>
          <w:szCs w:val="24"/>
          <w:lang w:val="en-US" w:eastAsia="zh-CN"/>
        </w:rPr>
        <w:t>水泥</w:t>
      </w:r>
      <w:r>
        <w:rPr>
          <w:rFonts w:hint="eastAsia" w:ascii="宋体" w:hAnsi="宋体" w:eastAsia="宋体" w:cs="宋体"/>
          <w:color w:val="auto"/>
          <w:sz w:val="24"/>
          <w:szCs w:val="24"/>
          <w:lang w:eastAsia="zh-CN"/>
        </w:rPr>
        <w:t>材料，且采购工作已完成审批。</w:t>
      </w:r>
    </w:p>
    <w:p>
      <w:pPr>
        <w:pStyle w:val="53"/>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采购资金来源：浙江省隧道工程集团有限公司</w:t>
      </w:r>
      <w:r>
        <w:rPr>
          <w:rFonts w:hint="eastAsia" w:ascii="宋体" w:hAnsi="宋体" w:eastAsia="宋体" w:cs="宋体"/>
          <w:color w:val="auto"/>
          <w:sz w:val="24"/>
          <w:szCs w:val="24"/>
        </w:rPr>
        <w:t>扩大杭嘉湖南排后续西部通道（南北线）工程南段设计采购施工(EPC)总承包</w:t>
      </w:r>
      <w:r>
        <w:rPr>
          <w:rFonts w:hint="eastAsia" w:ascii="宋体" w:hAnsi="宋体" w:eastAsia="宋体" w:cs="宋体"/>
          <w:color w:val="auto"/>
          <w:sz w:val="24"/>
          <w:szCs w:val="24"/>
          <w:lang w:eastAsia="zh-CN"/>
        </w:rPr>
        <w:t>项目工程建设资金。</w:t>
      </w:r>
    </w:p>
    <w:p>
      <w:pPr>
        <w:pStyle w:val="41"/>
        <w:snapToGrid w:val="0"/>
        <w:spacing w:before="0"/>
        <w:ind w:firstLine="0" w:firstLineChars="0"/>
        <w:rPr>
          <w:rFonts w:ascii="宋体" w:hAnsi="宋体" w:cs="Arial"/>
          <w:b/>
        </w:rPr>
      </w:pPr>
      <w:r>
        <w:rPr>
          <w:rFonts w:hint="eastAsia" w:ascii="宋体" w:hAnsi="宋体" w:cs="Arial"/>
          <w:b/>
        </w:rPr>
        <w:t>二、物资材料采购概况及要求</w:t>
      </w:r>
    </w:p>
    <w:p>
      <w:pPr>
        <w:pStyle w:val="41"/>
        <w:snapToGrid w:val="0"/>
        <w:spacing w:before="0"/>
        <w:ind w:firstLine="480"/>
        <w:rPr>
          <w:rFonts w:ascii="宋体" w:hAnsi="宋体" w:cs="宋体"/>
          <w:szCs w:val="24"/>
        </w:rPr>
      </w:pPr>
      <w:r>
        <w:rPr>
          <w:rFonts w:hint="eastAsia" w:ascii="宋体" w:hAnsi="宋体" w:cs="宋体"/>
          <w:szCs w:val="24"/>
        </w:rPr>
        <w:t>（1）品牌及数量</w:t>
      </w:r>
    </w:p>
    <w:p>
      <w:pPr>
        <w:pStyle w:val="53"/>
        <w:spacing w:line="360" w:lineRule="auto"/>
        <w:ind w:firstLine="480" w:firstLineChars="200"/>
        <w:rPr>
          <w:rFonts w:hint="eastAsia"/>
          <w:sz w:val="24"/>
          <w:szCs w:val="24"/>
        </w:rPr>
      </w:pPr>
      <w:r>
        <w:rPr>
          <w:rFonts w:hint="eastAsia"/>
          <w:sz w:val="24"/>
          <w:szCs w:val="24"/>
        </w:rPr>
        <w:t>品牌：</w:t>
      </w:r>
      <w:r>
        <w:rPr>
          <w:rFonts w:hint="eastAsia"/>
          <w:sz w:val="24"/>
          <w:szCs w:val="24"/>
          <w:lang w:val="en-US" w:eastAsia="zh-CN"/>
        </w:rPr>
        <w:t>钱江、钱潮、三狮、尖峰、南方、海螺</w:t>
      </w:r>
      <w:r>
        <w:rPr>
          <w:rFonts w:hint="eastAsia"/>
          <w:sz w:val="24"/>
          <w:szCs w:val="24"/>
        </w:rPr>
        <w:t>。</w:t>
      </w:r>
    </w:p>
    <w:p>
      <w:pPr>
        <w:pStyle w:val="53"/>
        <w:spacing w:line="360" w:lineRule="auto"/>
        <w:ind w:firstLine="480" w:firstLineChars="200"/>
        <w:rPr>
          <w:rFonts w:hint="eastAsia"/>
          <w:sz w:val="24"/>
          <w:szCs w:val="24"/>
        </w:rPr>
      </w:pPr>
      <w:r>
        <w:rPr>
          <w:rFonts w:hint="eastAsia"/>
          <w:sz w:val="24"/>
          <w:szCs w:val="24"/>
          <w:lang w:val="en-US" w:eastAsia="zh-CN"/>
        </w:rPr>
        <w:t>数量：水泥</w:t>
      </w:r>
      <w:r>
        <w:rPr>
          <w:rFonts w:hint="eastAsia"/>
          <w:sz w:val="24"/>
          <w:szCs w:val="24"/>
        </w:rPr>
        <w:t>暂估采购数量为</w:t>
      </w:r>
      <w:r>
        <w:rPr>
          <w:rFonts w:hint="eastAsia"/>
          <w:sz w:val="24"/>
          <w:szCs w:val="24"/>
          <w:lang w:val="en-US" w:eastAsia="zh-CN"/>
        </w:rPr>
        <w:t>10000t</w:t>
      </w:r>
      <w:r>
        <w:rPr>
          <w:rFonts w:hint="eastAsia"/>
          <w:sz w:val="24"/>
          <w:szCs w:val="24"/>
        </w:rPr>
        <w:t>。</w:t>
      </w:r>
    </w:p>
    <w:p>
      <w:pPr>
        <w:pStyle w:val="53"/>
        <w:spacing w:line="360" w:lineRule="auto"/>
        <w:ind w:firstLine="480" w:firstLineChars="200"/>
        <w:rPr>
          <w:sz w:val="24"/>
          <w:szCs w:val="24"/>
        </w:rPr>
      </w:pPr>
      <w:r>
        <w:rPr>
          <w:rFonts w:hint="eastAsia"/>
          <w:sz w:val="24"/>
          <w:szCs w:val="24"/>
        </w:rPr>
        <w:t>（2）货物质量应符合：</w:t>
      </w:r>
      <w:r>
        <w:rPr>
          <w:rFonts w:hint="eastAsia"/>
          <w:sz w:val="24"/>
          <w:szCs w:val="24"/>
          <w:lang w:val="en-US"/>
        </w:rPr>
        <w:t>国家、行业、地方性规范（标准）要求；无国家、行业、地方性规范（标准）的，应符合企业标准，乙方应当提交企业标准，作为合同附件。上述规范（标准）均不存在的，应满足其正常的使用性能要求。</w:t>
      </w:r>
    </w:p>
    <w:p>
      <w:pPr>
        <w:pStyle w:val="53"/>
        <w:spacing w:line="360" w:lineRule="auto"/>
        <w:ind w:firstLine="480" w:firstLineChars="200"/>
        <w:rPr>
          <w:sz w:val="24"/>
          <w:szCs w:val="24"/>
          <w:highlight w:val="none"/>
        </w:rPr>
      </w:pPr>
      <w:r>
        <w:rPr>
          <w:rFonts w:hint="eastAsia"/>
          <w:sz w:val="24"/>
          <w:szCs w:val="24"/>
          <w:lang w:val="en-US"/>
        </w:rPr>
        <w:t>（</w:t>
      </w:r>
      <w:r>
        <w:rPr>
          <w:rFonts w:hint="eastAsia"/>
          <w:sz w:val="24"/>
          <w:szCs w:val="24"/>
          <w:highlight w:val="none"/>
          <w:lang w:val="en-US"/>
        </w:rPr>
        <w:t>3）</w:t>
      </w:r>
      <w:r>
        <w:rPr>
          <w:rFonts w:hint="eastAsia"/>
          <w:sz w:val="24"/>
          <w:szCs w:val="24"/>
          <w:highlight w:val="none"/>
        </w:rPr>
        <w:t>交货期：分批交货，具体时间及交货地点由</w:t>
      </w:r>
      <w:r>
        <w:rPr>
          <w:rFonts w:hint="eastAsia"/>
          <w:sz w:val="24"/>
          <w:szCs w:val="24"/>
          <w:highlight w:val="none"/>
          <w:lang w:val="en-US"/>
        </w:rPr>
        <w:t>甲方</w:t>
      </w:r>
      <w:r>
        <w:rPr>
          <w:rFonts w:hint="eastAsia"/>
          <w:sz w:val="24"/>
          <w:szCs w:val="24"/>
          <w:highlight w:val="none"/>
        </w:rPr>
        <w:t>根据施工需要通知</w:t>
      </w:r>
      <w:r>
        <w:rPr>
          <w:rFonts w:hint="eastAsia"/>
          <w:sz w:val="24"/>
          <w:szCs w:val="24"/>
          <w:highlight w:val="none"/>
          <w:lang w:val="en-US"/>
        </w:rPr>
        <w:t>中标方</w:t>
      </w:r>
      <w:r>
        <w:rPr>
          <w:rFonts w:hint="eastAsia"/>
          <w:sz w:val="24"/>
          <w:szCs w:val="24"/>
          <w:highlight w:val="none"/>
        </w:rPr>
        <w:t>，</w:t>
      </w:r>
      <w:r>
        <w:rPr>
          <w:rFonts w:hint="eastAsia"/>
          <w:sz w:val="24"/>
          <w:szCs w:val="24"/>
          <w:highlight w:val="none"/>
          <w:lang w:val="en-US"/>
        </w:rPr>
        <w:t>中标方收到每批次订单后</w:t>
      </w:r>
      <w:r>
        <w:rPr>
          <w:rFonts w:hint="eastAsia"/>
          <w:sz w:val="24"/>
          <w:szCs w:val="24"/>
          <w:highlight w:val="none"/>
          <w:lang w:val="en-US" w:eastAsia="zh-CN"/>
        </w:rPr>
        <w:t>3</w:t>
      </w:r>
      <w:r>
        <w:rPr>
          <w:rFonts w:hint="eastAsia"/>
          <w:sz w:val="24"/>
          <w:szCs w:val="24"/>
          <w:highlight w:val="none"/>
          <w:lang w:val="en-US"/>
        </w:rPr>
        <w:t>天内交货</w:t>
      </w:r>
      <w:r>
        <w:rPr>
          <w:rFonts w:hint="eastAsia"/>
          <w:sz w:val="24"/>
          <w:szCs w:val="24"/>
          <w:highlight w:val="none"/>
        </w:rPr>
        <w:t>。</w:t>
      </w:r>
    </w:p>
    <w:p>
      <w:pPr>
        <w:pStyle w:val="53"/>
        <w:spacing w:line="360" w:lineRule="auto"/>
        <w:ind w:firstLine="480" w:firstLineChars="200"/>
        <w:rPr>
          <w:sz w:val="24"/>
          <w:szCs w:val="24"/>
          <w:highlight w:val="none"/>
        </w:rPr>
      </w:pPr>
      <w:r>
        <w:rPr>
          <w:rFonts w:hint="eastAsia"/>
          <w:sz w:val="24"/>
          <w:szCs w:val="24"/>
          <w:highlight w:val="none"/>
          <w:lang w:val="en-US"/>
        </w:rPr>
        <w:t>（4）</w:t>
      </w:r>
      <w:r>
        <w:rPr>
          <w:rFonts w:hint="eastAsia"/>
          <w:sz w:val="24"/>
          <w:szCs w:val="24"/>
          <w:highlight w:val="none"/>
        </w:rPr>
        <w:t>交货地点：</w:t>
      </w:r>
      <w:r>
        <w:rPr>
          <w:rFonts w:hint="eastAsia"/>
          <w:sz w:val="24"/>
          <w:szCs w:val="24"/>
          <w:highlight w:val="none"/>
          <w:lang w:val="en-US"/>
        </w:rPr>
        <w:t>甲方指定卸货地点</w:t>
      </w:r>
      <w:r>
        <w:rPr>
          <w:rFonts w:hint="eastAsia"/>
          <w:sz w:val="24"/>
          <w:szCs w:val="24"/>
          <w:highlight w:val="none"/>
        </w:rPr>
        <w:t>。</w:t>
      </w:r>
    </w:p>
    <w:p>
      <w:pPr>
        <w:pStyle w:val="41"/>
        <w:snapToGrid w:val="0"/>
        <w:spacing w:before="0"/>
        <w:ind w:firstLine="0" w:firstLineChars="0"/>
        <w:rPr>
          <w:rFonts w:ascii="宋体" w:hAnsi="宋体" w:cs="Arial"/>
          <w:b/>
        </w:rPr>
      </w:pPr>
      <w:r>
        <w:rPr>
          <w:rFonts w:hint="eastAsia" w:ascii="宋体" w:hAnsi="宋体" w:cs="Arial"/>
          <w:b/>
        </w:rPr>
        <w:t>三、投标人资格要求</w:t>
      </w:r>
    </w:p>
    <w:p>
      <w:pPr>
        <w:adjustRightInd w:val="0"/>
        <w:snapToGrid w:val="0"/>
        <w:spacing w:line="360" w:lineRule="auto"/>
        <w:ind w:firstLine="482" w:firstLineChars="200"/>
        <w:rPr>
          <w:rFonts w:ascii="宋体" w:hAnsi="宋体"/>
          <w:b/>
          <w:bCs/>
          <w:sz w:val="24"/>
        </w:rPr>
      </w:pPr>
      <w:r>
        <w:rPr>
          <w:rFonts w:hint="eastAsia" w:ascii="宋体" w:hAnsi="宋体"/>
          <w:b/>
          <w:bCs/>
          <w:sz w:val="24"/>
        </w:rPr>
        <w:t>1、通用资质要求</w:t>
      </w:r>
    </w:p>
    <w:p>
      <w:pPr>
        <w:adjustRightInd w:val="0"/>
        <w:snapToGrid w:val="0"/>
        <w:spacing w:line="360" w:lineRule="auto"/>
        <w:ind w:firstLine="480" w:firstLineChars="200"/>
        <w:rPr>
          <w:rFonts w:ascii="宋体" w:hAnsi="宋体"/>
          <w:sz w:val="24"/>
        </w:rPr>
      </w:pPr>
      <w:r>
        <w:rPr>
          <w:rFonts w:hint="eastAsia" w:ascii="宋体" w:hAnsi="宋体"/>
          <w:sz w:val="24"/>
        </w:rPr>
        <w:t>（1）企业法人营业执照中注明的经营范围具有本次招标内容且在有效期内的；</w:t>
      </w:r>
    </w:p>
    <w:p>
      <w:pPr>
        <w:adjustRightInd w:val="0"/>
        <w:snapToGrid w:val="0"/>
        <w:spacing w:line="360" w:lineRule="auto"/>
        <w:ind w:firstLine="480" w:firstLineChars="200"/>
        <w:rPr>
          <w:rFonts w:ascii="宋体" w:hAnsi="宋体"/>
          <w:sz w:val="24"/>
        </w:rPr>
      </w:pPr>
      <w:r>
        <w:rPr>
          <w:rFonts w:hint="eastAsia" w:ascii="宋体" w:hAnsi="宋体"/>
          <w:sz w:val="24"/>
        </w:rPr>
        <w:t>（2）投标截止之日至前三年内，在“信用中国网”（</w:t>
      </w:r>
      <w:r>
        <w:fldChar w:fldCharType="begin"/>
      </w:r>
      <w:r>
        <w:instrText xml:space="preserve"> HYPERLINK "http://www.creditchina.gov.cn" </w:instrText>
      </w:r>
      <w:r>
        <w:fldChar w:fldCharType="separate"/>
      </w:r>
      <w:r>
        <w:rPr>
          <w:rStyle w:val="27"/>
          <w:rFonts w:hint="eastAsia" w:ascii="宋体" w:hAnsi="宋体"/>
          <w:sz w:val="24"/>
        </w:rPr>
        <w:t>www.creditchina.gov.cn</w:t>
      </w:r>
      <w:r>
        <w:rPr>
          <w:rStyle w:val="27"/>
          <w:rFonts w:hint="eastAsia" w:ascii="宋体" w:hAnsi="宋体"/>
          <w:sz w:val="24"/>
        </w:rPr>
        <w:fldChar w:fldCharType="end"/>
      </w:r>
      <w:r>
        <w:rPr>
          <w:rFonts w:hint="eastAsia" w:ascii="宋体" w:hAnsi="宋体"/>
          <w:sz w:val="24"/>
        </w:rPr>
        <w:t>）被列入失信被执行人、重大税收违法当事人名单、政府采购严重违法失信行为记录名单的投标人，资格审查时不予以通过；</w:t>
      </w:r>
    </w:p>
    <w:p>
      <w:pPr>
        <w:adjustRightInd w:val="0"/>
        <w:snapToGrid w:val="0"/>
        <w:spacing w:line="360" w:lineRule="auto"/>
        <w:ind w:firstLine="480" w:firstLineChars="200"/>
        <w:rPr>
          <w:rFonts w:ascii="宋体" w:hAnsi="宋体"/>
          <w:sz w:val="24"/>
        </w:rPr>
      </w:pPr>
      <w:r>
        <w:rPr>
          <w:rFonts w:hint="eastAsia" w:ascii="宋体" w:hAnsi="宋体"/>
          <w:sz w:val="24"/>
        </w:rPr>
        <w:t>（3）投标截止前，在“中国政府采购网”（</w:t>
      </w:r>
      <w:r>
        <w:fldChar w:fldCharType="begin"/>
      </w:r>
      <w:r>
        <w:instrText xml:space="preserve"> HYPERLINK "http://www.ccgp.gov.cn" </w:instrText>
      </w:r>
      <w:r>
        <w:fldChar w:fldCharType="separate"/>
      </w:r>
      <w:r>
        <w:rPr>
          <w:rStyle w:val="27"/>
          <w:rFonts w:hint="eastAsia" w:ascii="宋体" w:hAnsi="宋体"/>
          <w:sz w:val="24"/>
        </w:rPr>
        <w:t>www.ccgp.gov.cn</w:t>
      </w:r>
      <w:r>
        <w:rPr>
          <w:rStyle w:val="27"/>
          <w:rFonts w:hint="eastAsia" w:ascii="宋体" w:hAnsi="宋体"/>
          <w:sz w:val="24"/>
        </w:rPr>
        <w:fldChar w:fldCharType="end"/>
      </w:r>
      <w:r>
        <w:rPr>
          <w:rFonts w:hint="eastAsia" w:ascii="宋体" w:hAnsi="宋体"/>
          <w:sz w:val="24"/>
        </w:rPr>
        <w:t>）被列入政府采购严重违法失信行为记录名单中的投标人且在处罚有效期内的投标人，资格审查时不予以通过；</w:t>
      </w:r>
    </w:p>
    <w:p>
      <w:pPr>
        <w:adjustRightInd w:val="0"/>
        <w:snapToGrid w:val="0"/>
        <w:spacing w:line="360" w:lineRule="auto"/>
        <w:ind w:firstLine="480" w:firstLineChars="200"/>
        <w:rPr>
          <w:rFonts w:ascii="宋体" w:hAnsi="宋体"/>
          <w:sz w:val="24"/>
        </w:rPr>
      </w:pPr>
      <w:r>
        <w:rPr>
          <w:rFonts w:hint="eastAsia" w:ascii="宋体" w:hAnsi="宋体"/>
          <w:sz w:val="24"/>
        </w:rPr>
        <w:t>（4）投标截止前，在“浙江政府采购网”（</w:t>
      </w:r>
      <w:r>
        <w:fldChar w:fldCharType="begin"/>
      </w:r>
      <w:r>
        <w:instrText xml:space="preserve"> HYPERLINK "http://www.zjzfcg.gov.cn" </w:instrText>
      </w:r>
      <w:r>
        <w:fldChar w:fldCharType="separate"/>
      </w:r>
      <w:r>
        <w:rPr>
          <w:rStyle w:val="27"/>
          <w:rFonts w:hint="eastAsia" w:ascii="宋体" w:hAnsi="宋体"/>
          <w:sz w:val="24"/>
        </w:rPr>
        <w:t>www.zjzfcg.gov.cn</w:t>
      </w:r>
      <w:r>
        <w:rPr>
          <w:rStyle w:val="27"/>
          <w:rFonts w:hint="eastAsia" w:ascii="宋体" w:hAnsi="宋体"/>
          <w:sz w:val="24"/>
        </w:rPr>
        <w:fldChar w:fldCharType="end"/>
      </w:r>
      <w:r>
        <w:rPr>
          <w:rFonts w:hint="eastAsia" w:ascii="宋体" w:hAnsi="宋体"/>
          <w:sz w:val="24"/>
        </w:rPr>
        <w:t>）“曝光台”中被曝光且在处罚有效期内的投标人，资格审查时不予以通过；</w:t>
      </w:r>
    </w:p>
    <w:p>
      <w:pPr>
        <w:adjustRightInd w:val="0"/>
        <w:snapToGrid w:val="0"/>
        <w:spacing w:line="360" w:lineRule="auto"/>
        <w:ind w:firstLine="480" w:firstLineChars="200"/>
        <w:rPr>
          <w:rFonts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pPr>
        <w:adjustRightInd w:val="0"/>
        <w:snapToGrid w:val="0"/>
        <w:spacing w:line="360" w:lineRule="auto"/>
        <w:ind w:firstLine="480" w:firstLineChars="200"/>
        <w:rPr>
          <w:rFonts w:ascii="宋体" w:hAnsi="宋体"/>
          <w:sz w:val="24"/>
        </w:rPr>
      </w:pPr>
      <w:r>
        <w:rPr>
          <w:rFonts w:hint="eastAsia" w:ascii="宋体" w:hAnsi="宋体"/>
          <w:sz w:val="24"/>
        </w:rPr>
        <w:t>（6）本项目不接受联合体投标，不允许转包和分包。</w:t>
      </w:r>
    </w:p>
    <w:p>
      <w:pPr>
        <w:adjustRightInd w:val="0"/>
        <w:snapToGrid w:val="0"/>
        <w:spacing w:line="360" w:lineRule="auto"/>
        <w:ind w:firstLine="482" w:firstLineChars="200"/>
        <w:rPr>
          <w:rFonts w:ascii="宋体" w:hAnsi="宋体"/>
          <w:b/>
          <w:bCs/>
          <w:sz w:val="24"/>
        </w:rPr>
      </w:pPr>
      <w:r>
        <w:rPr>
          <w:rFonts w:hint="eastAsia" w:ascii="宋体" w:hAnsi="宋体"/>
          <w:b/>
          <w:bCs/>
          <w:sz w:val="24"/>
        </w:rPr>
        <w:t>2、专用资质要求</w:t>
      </w:r>
    </w:p>
    <w:p>
      <w:pPr>
        <w:pStyle w:val="53"/>
        <w:spacing w:line="360" w:lineRule="auto"/>
        <w:ind w:firstLine="480" w:firstLineChars="200"/>
        <w:rPr>
          <w:sz w:val="24"/>
          <w:szCs w:val="24"/>
        </w:rPr>
      </w:pPr>
      <w:r>
        <w:rPr>
          <w:rFonts w:hint="eastAsia"/>
          <w:sz w:val="24"/>
          <w:szCs w:val="24"/>
        </w:rPr>
        <w:t>（1）具有有效的营业执照、相关部门的合法证照。</w:t>
      </w:r>
    </w:p>
    <w:p>
      <w:pPr>
        <w:snapToGrid w:val="0"/>
        <w:spacing w:line="360" w:lineRule="auto"/>
        <w:ind w:firstLine="480" w:firstLineChars="200"/>
        <w:rPr>
          <w:rFonts w:ascii="宋体" w:hAnsi="宋体" w:cs="宋体"/>
          <w:sz w:val="24"/>
        </w:rPr>
      </w:pPr>
      <w:r>
        <w:rPr>
          <w:rFonts w:hint="eastAsia" w:ascii="宋体" w:hAnsi="宋体" w:cs="宋体"/>
          <w:sz w:val="24"/>
        </w:rPr>
        <w:t>（2）合格供应商必须具有与供货规模相一致的资金实力。供应的材料物资须提供产品的有效合格证或质量证明书、检测报告等。</w:t>
      </w:r>
    </w:p>
    <w:p>
      <w:pPr>
        <w:autoSpaceDE w:val="0"/>
        <w:autoSpaceDN w:val="0"/>
        <w:adjustRightInd w:val="0"/>
        <w:snapToGrid w:val="0"/>
        <w:spacing w:line="360" w:lineRule="auto"/>
        <w:rPr>
          <w:rFonts w:ascii="宋体" w:hAnsi="宋体" w:cs="Arial"/>
          <w:b/>
          <w:sz w:val="24"/>
          <w:szCs w:val="20"/>
        </w:rPr>
      </w:pPr>
      <w:bookmarkStart w:id="43" w:name="_Toc91899916"/>
      <w:bookmarkStart w:id="44" w:name="_Toc37243119"/>
      <w:bookmarkStart w:id="45" w:name="_Toc35401305"/>
      <w:r>
        <w:rPr>
          <w:rFonts w:hint="eastAsia" w:ascii="宋体" w:hAnsi="宋体" w:cs="Arial"/>
          <w:b/>
          <w:sz w:val="24"/>
          <w:szCs w:val="20"/>
        </w:rPr>
        <w:t>四、投标报价方式</w:t>
      </w:r>
    </w:p>
    <w:p>
      <w:pPr>
        <w:pStyle w:val="53"/>
        <w:spacing w:line="360" w:lineRule="auto"/>
        <w:ind w:firstLine="480" w:firstLineChars="200"/>
        <w:rPr>
          <w:sz w:val="24"/>
          <w:szCs w:val="24"/>
        </w:rPr>
      </w:pPr>
      <w:r>
        <w:rPr>
          <w:rFonts w:hint="eastAsia"/>
          <w:sz w:val="24"/>
          <w:szCs w:val="24"/>
          <w:lang w:val="en-US"/>
        </w:rPr>
        <w:t>1、含税单价</w:t>
      </w:r>
      <w:r>
        <w:rPr>
          <w:rFonts w:hint="eastAsia"/>
          <w:sz w:val="24"/>
          <w:szCs w:val="24"/>
          <w:lang w:val="en-US" w:bidi="en-US"/>
        </w:rPr>
        <w:t>，报价含13%增值税。</w:t>
      </w:r>
    </w:p>
    <w:p>
      <w:pPr>
        <w:pStyle w:val="53"/>
        <w:spacing w:line="360" w:lineRule="auto"/>
        <w:ind w:firstLine="480" w:firstLineChars="200"/>
        <w:rPr>
          <w:sz w:val="24"/>
          <w:szCs w:val="24"/>
          <w:highlight w:val="none"/>
        </w:rPr>
      </w:pPr>
      <w:r>
        <w:rPr>
          <w:rFonts w:hint="eastAsia"/>
          <w:sz w:val="24"/>
          <w:szCs w:val="24"/>
          <w:lang w:val="en-US"/>
        </w:rPr>
        <w:t>2、</w:t>
      </w:r>
      <w:r>
        <w:rPr>
          <w:rFonts w:hint="eastAsia"/>
          <w:sz w:val="24"/>
          <w:szCs w:val="24"/>
        </w:rPr>
        <w:t>本项目</w:t>
      </w:r>
      <w:r>
        <w:rPr>
          <w:rFonts w:hint="eastAsia"/>
          <w:sz w:val="24"/>
          <w:szCs w:val="24"/>
          <w:highlight w:val="none"/>
          <w:lang w:val="en-US" w:eastAsia="zh-CN"/>
        </w:rPr>
        <w:t>水泥</w:t>
      </w:r>
      <w:r>
        <w:rPr>
          <w:rFonts w:hint="eastAsia"/>
          <w:sz w:val="24"/>
          <w:szCs w:val="24"/>
          <w:highlight w:val="none"/>
        </w:rPr>
        <w:t>采购方提供报价单，报价方根据报价单要求自主报价。</w:t>
      </w:r>
    </w:p>
    <w:p>
      <w:pPr>
        <w:pStyle w:val="53"/>
        <w:spacing w:line="360" w:lineRule="auto"/>
        <w:ind w:firstLine="480" w:firstLineChars="200"/>
        <w:rPr>
          <w:rFonts w:cs="Arial"/>
          <w:b/>
          <w:sz w:val="36"/>
          <w:szCs w:val="36"/>
        </w:rPr>
      </w:pPr>
      <w:r>
        <w:rPr>
          <w:rFonts w:hint="eastAsia"/>
          <w:color w:val="auto"/>
          <w:sz w:val="24"/>
          <w:szCs w:val="24"/>
          <w:highlight w:val="none"/>
          <w:lang w:val="en-US"/>
        </w:rPr>
        <w:t>3、散装P.0</w:t>
      </w:r>
      <w:r>
        <w:rPr>
          <w:rFonts w:hint="eastAsia"/>
          <w:color w:val="auto"/>
          <w:sz w:val="24"/>
          <w:szCs w:val="24"/>
          <w:highlight w:val="none"/>
          <w:lang w:val="en-US" w:eastAsia="zh-CN"/>
        </w:rPr>
        <w:t xml:space="preserve"> </w:t>
      </w:r>
      <w:r>
        <w:rPr>
          <w:rFonts w:hint="eastAsia"/>
          <w:color w:val="auto"/>
          <w:sz w:val="24"/>
          <w:szCs w:val="24"/>
          <w:highlight w:val="none"/>
          <w:lang w:val="en-US"/>
        </w:rPr>
        <w:t>42.5水泥按</w:t>
      </w:r>
      <w:r>
        <w:rPr>
          <w:rFonts w:hint="eastAsia"/>
          <w:color w:val="auto"/>
          <w:sz w:val="24"/>
          <w:szCs w:val="24"/>
          <w:highlight w:val="none"/>
          <w:lang w:val="en-US" w:eastAsia="zh-CN"/>
        </w:rPr>
        <w:t>2023年7</w:t>
      </w:r>
      <w:r>
        <w:rPr>
          <w:rFonts w:hint="eastAsia"/>
          <w:color w:val="auto"/>
          <w:sz w:val="24"/>
          <w:szCs w:val="24"/>
          <w:highlight w:val="none"/>
          <w:lang w:val="en-US"/>
        </w:rPr>
        <w:t>月杭州市</w:t>
      </w:r>
      <w:r>
        <w:rPr>
          <w:rFonts w:hint="eastAsia"/>
          <w:color w:val="auto"/>
          <w:sz w:val="24"/>
          <w:szCs w:val="24"/>
          <w:highlight w:val="none"/>
          <w:lang w:val="en-US" w:eastAsia="zh-CN"/>
        </w:rPr>
        <w:t>造价信息网</w:t>
      </w:r>
      <w:r>
        <w:rPr>
          <w:rFonts w:hint="eastAsia"/>
          <w:color w:val="auto"/>
          <w:sz w:val="24"/>
          <w:szCs w:val="24"/>
          <w:highlight w:val="none"/>
          <w:lang w:val="en-US"/>
        </w:rPr>
        <w:t>含税信息价下浮</w:t>
      </w:r>
      <w:r>
        <w:rPr>
          <w:rFonts w:hint="eastAsia"/>
          <w:color w:val="auto"/>
          <w:sz w:val="24"/>
          <w:szCs w:val="24"/>
          <w:highlight w:val="none"/>
          <w:lang w:val="en-US" w:eastAsia="zh-CN"/>
        </w:rPr>
        <w:t>率报价。</w:t>
      </w:r>
      <w:r>
        <w:rPr>
          <w:rFonts w:cs="Arial"/>
          <w:b/>
          <w:sz w:val="36"/>
          <w:szCs w:val="36"/>
        </w:rPr>
        <w:br w:type="page"/>
      </w:r>
      <w:r>
        <w:rPr>
          <w:rFonts w:hint="eastAsia" w:cs="Arial"/>
          <w:b/>
          <w:sz w:val="36"/>
          <w:szCs w:val="36"/>
        </w:rPr>
        <w:t>第</w:t>
      </w:r>
      <w:r>
        <w:rPr>
          <w:rFonts w:cs="Arial"/>
          <w:b/>
          <w:sz w:val="36"/>
          <w:szCs w:val="36"/>
        </w:rPr>
        <w:t xml:space="preserve">四部分 </w:t>
      </w:r>
      <w:r>
        <w:rPr>
          <w:rFonts w:hint="eastAsia" w:cs="Arial"/>
          <w:b/>
          <w:sz w:val="36"/>
          <w:szCs w:val="36"/>
        </w:rPr>
        <w:t>合同范本（模板合同）</w:t>
      </w:r>
    </w:p>
    <w:bookmarkEnd w:id="43"/>
    <w:bookmarkEnd w:id="44"/>
    <w:bookmarkEnd w:id="45"/>
    <w:p>
      <w:pPr>
        <w:pStyle w:val="56"/>
        <w:keepNext/>
        <w:keepLines/>
        <w:spacing w:after="100" w:line="500" w:lineRule="exact"/>
        <w:rPr>
          <w:rFonts w:hint="eastAsia" w:ascii="宋体" w:hAnsi="宋体" w:eastAsia="宋体" w:cs="宋体"/>
          <w:color w:val="auto"/>
          <w:lang w:val="en-US" w:eastAsia="zh-CN"/>
        </w:rPr>
      </w:pPr>
      <w:r>
        <w:rPr>
          <w:rFonts w:hint="eastAsia" w:cs="宋体"/>
          <w:color w:val="auto"/>
          <w:sz w:val="32"/>
          <w:szCs w:val="32"/>
          <w:lang w:val="en-US" w:eastAsia="zh-CN"/>
        </w:rPr>
        <w:t>水泥</w:t>
      </w:r>
      <w:r>
        <w:rPr>
          <w:rFonts w:hint="eastAsia" w:ascii="宋体" w:hAnsi="宋体" w:eastAsia="宋体" w:cs="宋体"/>
          <w:color w:val="auto"/>
          <w:sz w:val="32"/>
          <w:szCs w:val="32"/>
        </w:rPr>
        <w:t>买卖合同</w:t>
      </w:r>
      <w:r>
        <w:rPr>
          <w:rFonts w:hint="eastAsia" w:ascii="宋体" w:hAnsi="宋体" w:eastAsia="宋体" w:cs="宋体"/>
          <w:color w:val="auto"/>
          <w:sz w:val="32"/>
          <w:szCs w:val="32"/>
          <w:lang w:val="en-US" w:eastAsia="zh-CN"/>
        </w:rPr>
        <w:t>模板</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买受人（以下简称甲方）：</w:t>
      </w:r>
      <w:r>
        <w:rPr>
          <w:rFonts w:hint="eastAsia" w:ascii="宋体" w:hAnsi="宋体" w:eastAsia="宋体" w:cs="宋体"/>
          <w:sz w:val="24"/>
          <w:szCs w:val="24"/>
          <w:u w:val="single"/>
        </w:rPr>
        <w:t>浙江省隧道工程集团有限公司</w:t>
      </w:r>
    </w:p>
    <w:p>
      <w:pPr>
        <w:spacing w:line="440" w:lineRule="exact"/>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rPr>
        <w:t>出卖人（以下简称乙方）：</w:t>
      </w:r>
      <w:r>
        <w:rPr>
          <w:rFonts w:hint="eastAsia" w:ascii="宋体" w:hAnsi="宋体" w:cs="宋体"/>
          <w:sz w:val="24"/>
          <w:szCs w:val="24"/>
          <w:u w:val="single"/>
          <w:lang w:val="en-US" w:eastAsia="zh-CN"/>
        </w:rPr>
        <w:t xml:space="preserve">                          </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甲方因</w:t>
      </w:r>
      <w:r>
        <w:rPr>
          <w:rFonts w:hint="eastAsia" w:ascii="宋体" w:hAnsi="宋体" w:eastAsia="宋体" w:cs="宋体"/>
          <w:sz w:val="24"/>
          <w:szCs w:val="24"/>
          <w:u w:val="single"/>
          <w:lang w:val="en-US" w:eastAsia="zh-CN"/>
        </w:rPr>
        <w:t xml:space="preserve"> 扩大杭嘉湖南排后续西部通道（南北线）工程南段设计采购施工(EPC)总承包 </w:t>
      </w:r>
      <w:r>
        <w:rPr>
          <w:rFonts w:hint="eastAsia" w:ascii="宋体" w:hAnsi="宋体" w:eastAsia="宋体" w:cs="宋体"/>
          <w:sz w:val="24"/>
          <w:szCs w:val="24"/>
          <w:u w:val="none"/>
          <w:lang w:val="en-US" w:eastAsia="zh-CN"/>
        </w:rPr>
        <w:t>施工</w:t>
      </w:r>
      <w:r>
        <w:rPr>
          <w:rFonts w:hint="eastAsia" w:ascii="宋体" w:hAnsi="宋体" w:eastAsia="宋体" w:cs="宋体"/>
          <w:sz w:val="24"/>
          <w:szCs w:val="24"/>
        </w:rPr>
        <w:t>需要，购买乙方</w:t>
      </w:r>
      <w:r>
        <w:rPr>
          <w:rFonts w:hint="eastAsia" w:ascii="宋体" w:hAnsi="宋体" w:cs="宋体"/>
          <w:sz w:val="24"/>
          <w:szCs w:val="24"/>
          <w:u w:val="single"/>
          <w:lang w:val="en-US" w:eastAsia="zh-CN"/>
        </w:rPr>
        <w:t xml:space="preserve"> 水泥 </w:t>
      </w:r>
      <w:r>
        <w:rPr>
          <w:rFonts w:hint="eastAsia" w:ascii="宋体" w:hAnsi="宋体" w:eastAsia="宋体" w:cs="宋体"/>
          <w:sz w:val="24"/>
          <w:szCs w:val="24"/>
        </w:rPr>
        <w:t>物资，根据《中华人民共和国民法典》等相关法律之规定，经双方协商一致，签订本合同。</w:t>
      </w:r>
    </w:p>
    <w:p>
      <w:pPr>
        <w:pStyle w:val="62"/>
        <w:numPr>
          <w:ilvl w:val="0"/>
          <w:numId w:val="2"/>
        </w:numPr>
        <w:spacing w:line="440" w:lineRule="exact"/>
        <w:ind w:firstLineChars="0"/>
        <w:rPr>
          <w:rFonts w:hint="eastAsia" w:ascii="宋体" w:hAnsi="宋体" w:eastAsia="宋体" w:cs="宋体"/>
          <w:sz w:val="24"/>
          <w:szCs w:val="24"/>
        </w:rPr>
      </w:pPr>
      <w:r>
        <w:rPr>
          <w:rFonts w:hint="eastAsia" w:ascii="宋体" w:hAnsi="宋体" w:eastAsia="宋体" w:cs="宋体"/>
          <w:sz w:val="24"/>
          <w:szCs w:val="24"/>
        </w:rPr>
        <w:t>供料工程</w:t>
      </w:r>
    </w:p>
    <w:p>
      <w:pPr>
        <w:pStyle w:val="62"/>
        <w:numPr>
          <w:ilvl w:val="1"/>
          <w:numId w:val="3"/>
        </w:numPr>
        <w:spacing w:line="440" w:lineRule="exact"/>
        <w:ind w:firstLineChars="0"/>
        <w:rPr>
          <w:rFonts w:hint="eastAsia" w:ascii="宋体" w:hAnsi="宋体" w:eastAsia="宋体" w:cs="宋体"/>
          <w:sz w:val="24"/>
          <w:szCs w:val="24"/>
          <w:u w:val="single"/>
        </w:rPr>
      </w:pPr>
      <w:r>
        <w:rPr>
          <w:rFonts w:hint="eastAsia" w:ascii="宋体" w:hAnsi="宋体" w:eastAsia="宋体" w:cs="宋体"/>
          <w:sz w:val="24"/>
          <w:szCs w:val="24"/>
        </w:rPr>
        <w:t>本合同项下的物资用于下述工程：</w:t>
      </w:r>
      <w:r>
        <w:rPr>
          <w:rFonts w:hint="eastAsia" w:ascii="宋体" w:hAnsi="宋体" w:eastAsia="宋体" w:cs="宋体"/>
          <w:sz w:val="24"/>
          <w:szCs w:val="24"/>
          <w:u w:val="single"/>
        </w:rPr>
        <w:t>扩大杭嘉湖南排后续西部通道（南北线）工程南段设计采购施工(EPC)总承包</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pPr>
        <w:pStyle w:val="62"/>
        <w:numPr>
          <w:ilvl w:val="1"/>
          <w:numId w:val="3"/>
        </w:numPr>
        <w:spacing w:line="440" w:lineRule="exact"/>
        <w:ind w:firstLineChars="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lang w:val="en-US" w:eastAsia="zh-CN"/>
        </w:rPr>
        <w:t xml:space="preserve">杭州市西湖区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pPr>
        <w:pStyle w:val="62"/>
        <w:numPr>
          <w:ilvl w:val="1"/>
          <w:numId w:val="3"/>
        </w:numPr>
        <w:spacing w:line="440" w:lineRule="exact"/>
        <w:ind w:firstLineChars="0"/>
        <w:rPr>
          <w:rFonts w:hint="eastAsia" w:ascii="宋体" w:hAnsi="宋体" w:eastAsia="宋体" w:cs="宋体"/>
          <w:sz w:val="24"/>
          <w:szCs w:val="24"/>
        </w:rPr>
      </w:pPr>
      <w:r>
        <w:rPr>
          <w:rFonts w:hint="eastAsia" w:ascii="宋体" w:hAnsi="宋体" w:eastAsia="宋体" w:cs="宋体"/>
          <w:sz w:val="24"/>
          <w:szCs w:val="24"/>
        </w:rPr>
        <w:t>出卖人（乙方）增值税纳税人资格；</w:t>
      </w:r>
    </w:p>
    <w:p>
      <w:pPr>
        <w:spacing w:line="440" w:lineRule="exact"/>
        <w:ind w:left="420" w:firstLine="0" w:firstLineChars="0"/>
        <w:rPr>
          <w:rFonts w:hint="eastAsia" w:ascii="宋体" w:hAnsi="宋体" w:eastAsia="宋体" w:cs="宋体"/>
          <w:sz w:val="24"/>
          <w:szCs w:val="24"/>
        </w:rPr>
      </w:pPr>
      <w:r>
        <w:rPr>
          <w:rFonts w:hint="eastAsia" w:ascii="宋体" w:hAnsi="宋体" w:eastAsia="宋体" w:cs="宋体"/>
          <w:sz w:val="24"/>
          <w:szCs w:val="24"/>
        </w:rPr>
        <w:t>第二条 货物名称、规格型号、材质、单价及计划数量等</w:t>
      </w:r>
    </w:p>
    <w:tbl>
      <w:tblPr>
        <w:tblStyle w:val="21"/>
        <w:tblpPr w:leftFromText="180" w:rightFromText="180" w:vertAnchor="text" w:tblpY="1"/>
        <w:tblOverlap w:val="never"/>
        <w:tblW w:w="4997" w:type="pct"/>
        <w:tblInd w:w="0" w:type="dxa"/>
        <w:tblLayout w:type="autofit"/>
        <w:tblCellMar>
          <w:top w:w="0" w:type="dxa"/>
          <w:left w:w="10" w:type="dxa"/>
          <w:bottom w:w="0" w:type="dxa"/>
          <w:right w:w="10" w:type="dxa"/>
        </w:tblCellMar>
      </w:tblPr>
      <w:tblGrid>
        <w:gridCol w:w="2418"/>
        <w:gridCol w:w="931"/>
        <w:gridCol w:w="909"/>
        <w:gridCol w:w="847"/>
        <w:gridCol w:w="1284"/>
        <w:gridCol w:w="1487"/>
        <w:gridCol w:w="1267"/>
      </w:tblGrid>
      <w:tr>
        <w:tblPrEx>
          <w:tblCellMar>
            <w:top w:w="0" w:type="dxa"/>
            <w:left w:w="10" w:type="dxa"/>
            <w:bottom w:w="0" w:type="dxa"/>
            <w:right w:w="10" w:type="dxa"/>
          </w:tblCellMar>
        </w:tblPrEx>
        <w:trPr>
          <w:trHeight w:val="624" w:hRule="exact"/>
        </w:trPr>
        <w:tc>
          <w:tcPr>
            <w:tcW w:w="1323" w:type="pct"/>
            <w:tcBorders>
              <w:top w:val="single" w:color="auto" w:sz="4" w:space="0"/>
              <w:left w:val="single" w:color="auto" w:sz="4" w:space="0"/>
            </w:tcBorders>
            <w:shd w:val="clear" w:color="auto" w:fill="auto"/>
            <w:vAlign w:val="center"/>
          </w:tcPr>
          <w:p>
            <w:pPr>
              <w:pStyle w:val="57"/>
              <w:spacing w:line="240" w:lineRule="auto"/>
              <w:ind w:firstLine="0"/>
              <w:jc w:val="center"/>
              <w:rPr>
                <w:color w:val="auto"/>
                <w:sz w:val="21"/>
                <w:szCs w:val="21"/>
              </w:rPr>
            </w:pPr>
            <w:r>
              <w:rPr>
                <w:rFonts w:hint="eastAsia"/>
                <w:color w:val="auto"/>
                <w:sz w:val="21"/>
                <w:szCs w:val="21"/>
              </w:rPr>
              <w:t>材料名称</w:t>
            </w:r>
          </w:p>
        </w:tc>
        <w:tc>
          <w:tcPr>
            <w:tcW w:w="508" w:type="pct"/>
            <w:tcBorders>
              <w:top w:val="single" w:color="auto" w:sz="4" w:space="0"/>
              <w:left w:val="single" w:color="auto" w:sz="4" w:space="0"/>
            </w:tcBorders>
            <w:shd w:val="clear" w:color="auto" w:fill="auto"/>
            <w:vAlign w:val="center"/>
          </w:tcPr>
          <w:p>
            <w:pPr>
              <w:pStyle w:val="57"/>
              <w:spacing w:line="240" w:lineRule="auto"/>
              <w:ind w:firstLine="0"/>
              <w:jc w:val="center"/>
              <w:rPr>
                <w:rFonts w:hint="eastAsia" w:eastAsia="宋体"/>
                <w:color w:val="auto"/>
                <w:sz w:val="21"/>
                <w:szCs w:val="21"/>
                <w:lang w:eastAsia="zh-CN"/>
              </w:rPr>
            </w:pPr>
            <w:r>
              <w:rPr>
                <w:rFonts w:hint="eastAsia"/>
                <w:color w:val="auto"/>
                <w:sz w:val="21"/>
                <w:szCs w:val="21"/>
                <w:lang w:eastAsia="zh-CN"/>
              </w:rPr>
              <w:t>品牌</w:t>
            </w:r>
          </w:p>
        </w:tc>
        <w:tc>
          <w:tcPr>
            <w:tcW w:w="497" w:type="pct"/>
            <w:tcBorders>
              <w:top w:val="single" w:color="auto" w:sz="4" w:space="0"/>
              <w:left w:val="single" w:color="auto" w:sz="4" w:space="0"/>
              <w:right w:val="single" w:color="auto" w:sz="4" w:space="0"/>
            </w:tcBorders>
            <w:shd w:val="clear" w:color="auto" w:fill="auto"/>
            <w:vAlign w:val="center"/>
          </w:tcPr>
          <w:p>
            <w:pPr>
              <w:pStyle w:val="57"/>
              <w:spacing w:line="240" w:lineRule="auto"/>
              <w:ind w:firstLine="0" w:firstLineChars="0"/>
              <w:jc w:val="center"/>
              <w:rPr>
                <w:color w:val="auto"/>
                <w:sz w:val="21"/>
                <w:szCs w:val="21"/>
              </w:rPr>
            </w:pPr>
            <w:r>
              <w:rPr>
                <w:rFonts w:hint="eastAsia"/>
                <w:color w:val="auto"/>
                <w:sz w:val="21"/>
                <w:szCs w:val="21"/>
              </w:rPr>
              <w:t>单位</w:t>
            </w:r>
          </w:p>
        </w:tc>
        <w:tc>
          <w:tcPr>
            <w:tcW w:w="463" w:type="pct"/>
            <w:tcBorders>
              <w:top w:val="single" w:color="auto" w:sz="4" w:space="0"/>
              <w:left w:val="single" w:color="auto" w:sz="4" w:space="0"/>
            </w:tcBorders>
            <w:shd w:val="clear" w:color="auto" w:fill="auto"/>
            <w:vAlign w:val="center"/>
          </w:tcPr>
          <w:p>
            <w:pPr>
              <w:pStyle w:val="57"/>
              <w:spacing w:line="240" w:lineRule="auto"/>
              <w:ind w:firstLine="0" w:firstLineChars="0"/>
              <w:jc w:val="center"/>
              <w:rPr>
                <w:rFonts w:hint="eastAsia" w:ascii="宋体" w:hAnsi="宋体" w:eastAsia="宋体" w:cs="宋体"/>
                <w:color w:val="auto"/>
                <w:kern w:val="2"/>
                <w:sz w:val="21"/>
                <w:szCs w:val="21"/>
                <w:lang w:val="zh-CN" w:eastAsia="zh-CN" w:bidi="zh-CN"/>
              </w:rPr>
            </w:pPr>
            <w:r>
              <w:rPr>
                <w:rFonts w:hint="eastAsia"/>
                <w:color w:val="auto"/>
                <w:sz w:val="21"/>
                <w:szCs w:val="21"/>
              </w:rPr>
              <w:t>工程量</w:t>
            </w:r>
          </w:p>
        </w:tc>
        <w:tc>
          <w:tcPr>
            <w:tcW w:w="702" w:type="pct"/>
            <w:tcBorders>
              <w:top w:val="single" w:color="auto" w:sz="4" w:space="0"/>
              <w:left w:val="single" w:color="auto" w:sz="4" w:space="0"/>
              <w:right w:val="single" w:color="auto" w:sz="4" w:space="0"/>
            </w:tcBorders>
            <w:shd w:val="clear" w:color="auto" w:fill="auto"/>
            <w:vAlign w:val="center"/>
          </w:tcPr>
          <w:p>
            <w:pPr>
              <w:pStyle w:val="57"/>
              <w:spacing w:line="240" w:lineRule="auto"/>
              <w:ind w:firstLine="0"/>
              <w:jc w:val="center"/>
              <w:rPr>
                <w:rFonts w:hint="eastAsia" w:eastAsia="宋体"/>
                <w:color w:val="auto"/>
                <w:sz w:val="21"/>
                <w:szCs w:val="21"/>
                <w:lang w:eastAsia="zh-CN"/>
              </w:rPr>
            </w:pPr>
            <w:r>
              <w:rPr>
                <w:rFonts w:hint="eastAsia"/>
                <w:color w:val="auto"/>
                <w:sz w:val="21"/>
                <w:szCs w:val="21"/>
                <w:lang w:eastAsia="zh-CN"/>
              </w:rPr>
              <w:t>单价</w:t>
            </w:r>
          </w:p>
        </w:tc>
        <w:tc>
          <w:tcPr>
            <w:tcW w:w="813" w:type="pct"/>
            <w:tcBorders>
              <w:top w:val="single" w:color="auto" w:sz="4" w:space="0"/>
              <w:left w:val="single" w:color="auto" w:sz="4" w:space="0"/>
              <w:right w:val="single" w:color="auto" w:sz="4" w:space="0"/>
            </w:tcBorders>
            <w:shd w:val="clear" w:color="auto" w:fill="auto"/>
            <w:vAlign w:val="center"/>
          </w:tcPr>
          <w:p>
            <w:pPr>
              <w:pStyle w:val="57"/>
              <w:spacing w:line="240" w:lineRule="auto"/>
              <w:ind w:firstLine="0"/>
              <w:jc w:val="center"/>
              <w:rPr>
                <w:rFonts w:hint="eastAsia" w:eastAsia="宋体"/>
                <w:color w:val="auto"/>
                <w:sz w:val="21"/>
                <w:szCs w:val="21"/>
                <w:lang w:eastAsia="zh-CN"/>
              </w:rPr>
            </w:pPr>
            <w:r>
              <w:rPr>
                <w:rFonts w:hint="eastAsia"/>
                <w:color w:val="auto"/>
                <w:sz w:val="21"/>
                <w:szCs w:val="21"/>
                <w:lang w:eastAsia="zh-CN"/>
              </w:rPr>
              <w:t>合价</w:t>
            </w:r>
          </w:p>
        </w:tc>
        <w:tc>
          <w:tcPr>
            <w:tcW w:w="692" w:type="pct"/>
            <w:tcBorders>
              <w:top w:val="single" w:color="auto" w:sz="4" w:space="0"/>
              <w:left w:val="single" w:color="auto" w:sz="4" w:space="0"/>
              <w:right w:val="single" w:color="auto" w:sz="4" w:space="0"/>
            </w:tcBorders>
            <w:shd w:val="clear" w:color="auto" w:fill="auto"/>
            <w:vAlign w:val="center"/>
          </w:tcPr>
          <w:p>
            <w:pPr>
              <w:pStyle w:val="57"/>
              <w:spacing w:line="240" w:lineRule="auto"/>
              <w:ind w:firstLine="0"/>
              <w:jc w:val="center"/>
              <w:rPr>
                <w:rFonts w:hint="eastAsia"/>
                <w:color w:val="auto"/>
                <w:sz w:val="21"/>
                <w:szCs w:val="21"/>
              </w:rPr>
            </w:pPr>
            <w:r>
              <w:rPr>
                <w:rFonts w:hint="eastAsia"/>
                <w:color w:val="auto"/>
                <w:sz w:val="21"/>
                <w:szCs w:val="21"/>
              </w:rPr>
              <w:t>备注</w:t>
            </w:r>
          </w:p>
        </w:tc>
      </w:tr>
      <w:tr>
        <w:tblPrEx>
          <w:tblCellMar>
            <w:top w:w="0" w:type="dxa"/>
            <w:left w:w="10" w:type="dxa"/>
            <w:bottom w:w="0" w:type="dxa"/>
            <w:right w:w="10" w:type="dxa"/>
          </w:tblCellMar>
        </w:tblPrEx>
        <w:trPr>
          <w:trHeight w:val="1679" w:hRule="exact"/>
        </w:trPr>
        <w:tc>
          <w:tcPr>
            <w:tcW w:w="1323" w:type="pct"/>
            <w:tcBorders>
              <w:top w:val="single" w:color="auto" w:sz="4" w:space="0"/>
              <w:left w:val="single" w:color="auto" w:sz="4" w:space="0"/>
            </w:tcBorders>
            <w:shd w:val="clear" w:color="auto" w:fill="auto"/>
            <w:vAlign w:val="center"/>
          </w:tcPr>
          <w:p>
            <w:pPr>
              <w:pStyle w:val="57"/>
              <w:spacing w:line="240" w:lineRule="auto"/>
              <w:ind w:firstLine="0"/>
              <w:jc w:val="center"/>
              <w:rPr>
                <w:rFonts w:hint="eastAsia" w:eastAsia="宋体"/>
                <w:color w:val="auto"/>
                <w:sz w:val="21"/>
                <w:szCs w:val="21"/>
                <w:lang w:val="en-US" w:eastAsia="zh-CN"/>
              </w:rPr>
            </w:pPr>
            <w:r>
              <w:rPr>
                <w:rFonts w:hint="eastAsia"/>
                <w:color w:val="auto"/>
                <w:sz w:val="21"/>
                <w:szCs w:val="21"/>
                <w:lang w:val="en-US"/>
              </w:rPr>
              <w:t>散装P.0 42.5</w:t>
            </w:r>
            <w:r>
              <w:rPr>
                <w:rFonts w:hint="eastAsia"/>
                <w:color w:val="auto"/>
                <w:sz w:val="21"/>
                <w:szCs w:val="21"/>
                <w:lang w:val="en-US" w:eastAsia="zh-CN"/>
              </w:rPr>
              <w:t>水泥</w:t>
            </w:r>
          </w:p>
        </w:tc>
        <w:tc>
          <w:tcPr>
            <w:tcW w:w="508" w:type="pct"/>
            <w:tcBorders>
              <w:top w:val="single" w:color="auto" w:sz="4" w:space="0"/>
              <w:left w:val="single" w:color="auto" w:sz="4" w:space="0"/>
            </w:tcBorders>
            <w:shd w:val="clear" w:color="auto" w:fill="auto"/>
            <w:vAlign w:val="center"/>
          </w:tcPr>
          <w:p>
            <w:pPr>
              <w:pStyle w:val="57"/>
              <w:spacing w:line="240" w:lineRule="auto"/>
              <w:ind w:firstLine="0"/>
              <w:jc w:val="center"/>
              <w:rPr>
                <w:color w:val="auto"/>
                <w:sz w:val="21"/>
                <w:szCs w:val="21"/>
              </w:rPr>
            </w:pPr>
          </w:p>
        </w:tc>
        <w:tc>
          <w:tcPr>
            <w:tcW w:w="497" w:type="pct"/>
            <w:tcBorders>
              <w:top w:val="single" w:color="auto" w:sz="4" w:space="0"/>
              <w:left w:val="single" w:color="auto" w:sz="4" w:space="0"/>
              <w:right w:val="single" w:color="auto" w:sz="4" w:space="0"/>
            </w:tcBorders>
            <w:shd w:val="clear" w:color="auto" w:fill="auto"/>
            <w:vAlign w:val="center"/>
          </w:tcPr>
          <w:p>
            <w:pPr>
              <w:pStyle w:val="57"/>
              <w:spacing w:line="240" w:lineRule="auto"/>
              <w:ind w:firstLine="0" w:firstLineChars="0"/>
              <w:jc w:val="center"/>
              <w:rPr>
                <w:color w:val="auto"/>
                <w:sz w:val="21"/>
                <w:szCs w:val="21"/>
                <w:lang w:val="en-US"/>
              </w:rPr>
            </w:pPr>
            <w:r>
              <w:rPr>
                <w:rFonts w:hint="eastAsia"/>
                <w:color w:val="auto"/>
                <w:sz w:val="21"/>
                <w:szCs w:val="21"/>
                <w:lang w:val="en-US" w:eastAsia="en-US" w:bidi="en-US"/>
              </w:rPr>
              <w:t>T</w:t>
            </w:r>
          </w:p>
        </w:tc>
        <w:tc>
          <w:tcPr>
            <w:tcW w:w="463" w:type="pct"/>
            <w:tcBorders>
              <w:top w:val="single" w:color="auto" w:sz="4" w:space="0"/>
              <w:left w:val="single" w:color="auto" w:sz="4" w:space="0"/>
            </w:tcBorders>
            <w:shd w:val="clear" w:color="auto" w:fill="auto"/>
            <w:vAlign w:val="center"/>
          </w:tcPr>
          <w:p>
            <w:pPr>
              <w:pStyle w:val="57"/>
              <w:spacing w:line="240" w:lineRule="auto"/>
              <w:ind w:firstLine="0" w:firstLineChars="0"/>
              <w:jc w:val="center"/>
              <w:rPr>
                <w:rFonts w:hint="default" w:ascii="宋体" w:hAnsi="宋体" w:eastAsia="宋体" w:cs="宋体"/>
                <w:color w:val="auto"/>
                <w:kern w:val="2"/>
                <w:sz w:val="21"/>
                <w:szCs w:val="21"/>
                <w:lang w:val="en-US" w:eastAsia="zh-CN" w:bidi="zh-CN"/>
              </w:rPr>
            </w:pPr>
            <w:r>
              <w:rPr>
                <w:rFonts w:hint="eastAsia"/>
                <w:color w:val="auto"/>
                <w:sz w:val="21"/>
                <w:szCs w:val="21"/>
                <w:lang w:val="en-US" w:eastAsia="zh-CN"/>
              </w:rPr>
              <w:t>10000</w:t>
            </w:r>
          </w:p>
        </w:tc>
        <w:tc>
          <w:tcPr>
            <w:tcW w:w="702" w:type="pct"/>
            <w:tcBorders>
              <w:top w:val="single" w:color="auto" w:sz="4" w:space="0"/>
              <w:left w:val="single" w:color="auto" w:sz="4" w:space="0"/>
              <w:right w:val="single" w:color="auto" w:sz="4" w:space="0"/>
            </w:tcBorders>
            <w:shd w:val="clear" w:color="auto" w:fill="auto"/>
            <w:vAlign w:val="center"/>
          </w:tcPr>
          <w:p>
            <w:pPr>
              <w:pStyle w:val="57"/>
              <w:spacing w:line="240" w:lineRule="auto"/>
              <w:ind w:hanging="511"/>
              <w:jc w:val="center"/>
              <w:rPr>
                <w:color w:val="auto"/>
                <w:sz w:val="21"/>
                <w:szCs w:val="21"/>
              </w:rPr>
            </w:pPr>
          </w:p>
        </w:tc>
        <w:tc>
          <w:tcPr>
            <w:tcW w:w="813" w:type="pct"/>
            <w:tcBorders>
              <w:top w:val="single" w:color="auto" w:sz="4" w:space="0"/>
              <w:left w:val="single" w:color="auto" w:sz="4" w:space="0"/>
              <w:right w:val="single" w:color="auto" w:sz="4" w:space="0"/>
            </w:tcBorders>
            <w:shd w:val="clear" w:color="auto" w:fill="auto"/>
            <w:vAlign w:val="center"/>
          </w:tcPr>
          <w:p>
            <w:pPr>
              <w:pStyle w:val="57"/>
              <w:spacing w:line="240" w:lineRule="auto"/>
              <w:ind w:hanging="511"/>
              <w:jc w:val="center"/>
              <w:rPr>
                <w:color w:val="auto"/>
                <w:sz w:val="21"/>
                <w:szCs w:val="21"/>
              </w:rPr>
            </w:pPr>
          </w:p>
        </w:tc>
        <w:tc>
          <w:tcPr>
            <w:tcW w:w="692" w:type="pct"/>
            <w:tcBorders>
              <w:top w:val="single" w:color="auto" w:sz="4" w:space="0"/>
              <w:left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right="0"/>
              <w:jc w:val="center"/>
              <w:rPr>
                <w:rFonts w:hint="eastAsia"/>
                <w:color w:val="auto"/>
                <w:sz w:val="21"/>
                <w:szCs w:val="21"/>
              </w:rPr>
            </w:pPr>
            <w:r>
              <w:rPr>
                <w:rFonts w:hint="eastAsia" w:ascii="宋体" w:hAnsi="宋体" w:eastAsia="宋体" w:cs="宋体"/>
                <w:sz w:val="21"/>
                <w:szCs w:val="21"/>
              </w:rPr>
              <w:t>最终金额以实际供货到场核定数量，按供货月的单价，计算金额为准</w:t>
            </w:r>
          </w:p>
        </w:tc>
      </w:tr>
      <w:tr>
        <w:tblPrEx>
          <w:tblCellMar>
            <w:top w:w="0" w:type="dxa"/>
            <w:left w:w="10" w:type="dxa"/>
            <w:bottom w:w="0" w:type="dxa"/>
            <w:right w:w="10" w:type="dxa"/>
          </w:tblCellMar>
        </w:tblPrEx>
        <w:trPr>
          <w:trHeight w:val="624" w:hRule="exact"/>
        </w:trPr>
        <w:tc>
          <w:tcPr>
            <w:tcW w:w="1832" w:type="pct"/>
            <w:gridSpan w:val="2"/>
            <w:tcBorders>
              <w:top w:val="single" w:color="auto" w:sz="4" w:space="0"/>
              <w:left w:val="single" w:color="auto" w:sz="4" w:space="0"/>
              <w:bottom w:val="single" w:color="auto" w:sz="4" w:space="0"/>
            </w:tcBorders>
            <w:shd w:val="clear" w:color="auto" w:fill="auto"/>
            <w:vAlign w:val="center"/>
          </w:tcPr>
          <w:p>
            <w:pPr>
              <w:pStyle w:val="57"/>
              <w:spacing w:line="240" w:lineRule="auto"/>
              <w:ind w:firstLine="0"/>
              <w:jc w:val="center"/>
              <w:rPr>
                <w:color w:val="auto"/>
                <w:sz w:val="21"/>
                <w:szCs w:val="21"/>
              </w:rPr>
            </w:pPr>
            <w:r>
              <w:rPr>
                <w:rFonts w:hint="eastAsia"/>
                <w:color w:val="auto"/>
                <w:sz w:val="21"/>
                <w:szCs w:val="21"/>
              </w:rPr>
              <w:t>合计</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7"/>
              <w:spacing w:line="240" w:lineRule="auto"/>
              <w:ind w:firstLine="0"/>
              <w:jc w:val="right"/>
              <w:rPr>
                <w:color w:val="auto"/>
                <w:sz w:val="21"/>
                <w:szCs w:val="21"/>
                <w:lang w:val="en-US"/>
              </w:rPr>
            </w:pPr>
          </w:p>
        </w:tc>
        <w:tc>
          <w:tcPr>
            <w:tcW w:w="463" w:type="pct"/>
            <w:tcBorders>
              <w:top w:val="single" w:color="auto" w:sz="4" w:space="0"/>
              <w:left w:val="single" w:color="auto" w:sz="4" w:space="0"/>
              <w:bottom w:val="single" w:color="auto" w:sz="4" w:space="0"/>
            </w:tcBorders>
            <w:shd w:val="clear" w:color="auto" w:fill="auto"/>
            <w:vAlign w:val="center"/>
          </w:tcPr>
          <w:p>
            <w:pPr>
              <w:pStyle w:val="57"/>
              <w:spacing w:line="240" w:lineRule="auto"/>
              <w:ind w:firstLine="0"/>
              <w:jc w:val="center"/>
              <w:rPr>
                <w:rFonts w:hint="default" w:eastAsia="宋体"/>
                <w:color w:val="auto"/>
                <w:sz w:val="21"/>
                <w:szCs w:val="21"/>
                <w:lang w:val="en-US" w:eastAsia="zh-CN"/>
              </w:rPr>
            </w:pPr>
            <w:r>
              <w:rPr>
                <w:rFonts w:hint="eastAsia"/>
                <w:color w:val="auto"/>
                <w:sz w:val="21"/>
                <w:szCs w:val="21"/>
                <w:lang w:val="en-US" w:eastAsia="zh-CN"/>
              </w:rPr>
              <w:t>10000</w:t>
            </w:r>
          </w:p>
        </w:tc>
        <w:tc>
          <w:tcPr>
            <w:tcW w:w="151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spacing w:line="240" w:lineRule="auto"/>
              <w:ind w:firstLine="0" w:firstLineChars="0"/>
              <w:jc w:val="right"/>
              <w:rPr>
                <w:rFonts w:ascii="宋体" w:hAnsi="宋体" w:eastAsia="宋体" w:cs="宋体"/>
                <w:color w:val="auto"/>
                <w:kern w:val="2"/>
                <w:sz w:val="21"/>
                <w:szCs w:val="21"/>
                <w:lang w:val="en-US" w:eastAsia="zh-CN" w:bidi="zh-CN"/>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7"/>
              <w:spacing w:line="240" w:lineRule="auto"/>
              <w:ind w:firstLine="0" w:firstLineChars="0"/>
              <w:jc w:val="right"/>
              <w:rPr>
                <w:rFonts w:ascii="宋体" w:hAnsi="宋体" w:eastAsia="宋体" w:cs="宋体"/>
                <w:color w:val="auto"/>
                <w:kern w:val="2"/>
                <w:sz w:val="21"/>
                <w:szCs w:val="21"/>
                <w:lang w:val="en-US" w:eastAsia="zh-CN" w:bidi="zh-CN"/>
              </w:rPr>
            </w:pPr>
          </w:p>
        </w:tc>
      </w:tr>
      <w:tr>
        <w:tblPrEx>
          <w:tblCellMar>
            <w:top w:w="0" w:type="dxa"/>
            <w:left w:w="10" w:type="dxa"/>
            <w:bottom w:w="0" w:type="dxa"/>
            <w:right w:w="10" w:type="dxa"/>
          </w:tblCellMar>
        </w:tblPrEx>
        <w:trPr>
          <w:trHeight w:val="1354" w:hRule="exac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360" w:right="0"/>
              <w:jc w:val="both"/>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kern w:val="2"/>
                <w:sz w:val="21"/>
                <w:szCs w:val="21"/>
                <w:lang w:val="en-US" w:eastAsia="zh-CN" w:bidi="zh-CN"/>
              </w:rPr>
              <w:t>1、单价为含税价，包括标的物出厂（库）价格及其相关税收（增值税专用发票）以及出厂</w:t>
            </w:r>
          </w:p>
          <w:p>
            <w:pPr>
              <w:pStyle w:val="19"/>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kern w:val="2"/>
                <w:sz w:val="21"/>
                <w:szCs w:val="21"/>
                <w:lang w:val="en-US" w:eastAsia="zh-CN" w:bidi="zh-CN"/>
              </w:rPr>
              <w:t>时的装、运车费，质保和售后服务等一切费用。</w:t>
            </w:r>
          </w:p>
          <w:p>
            <w:pPr>
              <w:pStyle w:val="19"/>
              <w:keepNext w:val="0"/>
              <w:keepLines w:val="0"/>
              <w:widowControl/>
              <w:suppressLineNumbers w:val="0"/>
              <w:spacing w:before="0" w:beforeAutospacing="0" w:after="0" w:afterAutospacing="0"/>
              <w:ind w:left="360" w:right="0"/>
              <w:jc w:val="both"/>
              <w:rPr>
                <w:rFonts w:hint="eastAsia" w:ascii="宋体" w:hAnsi="宋体" w:eastAsia="宋体" w:cs="宋体"/>
                <w:color w:val="auto"/>
                <w:kern w:val="2"/>
                <w:sz w:val="21"/>
                <w:szCs w:val="21"/>
                <w:lang w:val="en-US" w:eastAsia="zh-CN" w:bidi="zh-CN"/>
              </w:rPr>
            </w:pPr>
            <w:r>
              <w:rPr>
                <w:rFonts w:hint="default" w:ascii="宋体" w:hAnsi="宋体" w:eastAsia="宋体" w:cs="宋体"/>
                <w:color w:val="auto"/>
                <w:kern w:val="2"/>
                <w:sz w:val="21"/>
                <w:szCs w:val="21"/>
                <w:lang w:val="en-US" w:eastAsia="zh-CN" w:bidi="zh-CN"/>
              </w:rPr>
              <w:t>2</w:t>
            </w:r>
            <w:r>
              <w:rPr>
                <w:rFonts w:hint="eastAsia" w:ascii="宋体" w:hAnsi="宋体" w:eastAsia="宋体" w:cs="宋体"/>
                <w:color w:val="auto"/>
                <w:kern w:val="2"/>
                <w:sz w:val="21"/>
                <w:szCs w:val="21"/>
                <w:lang w:val="en-US" w:eastAsia="zh-CN" w:bidi="zh-CN"/>
              </w:rPr>
              <w:t>、合同含税价款为</w:t>
            </w:r>
            <w:r>
              <w:rPr>
                <w:rFonts w:hint="eastAsia" w:cs="宋体"/>
                <w:color w:val="auto"/>
                <w:kern w:val="2"/>
                <w:sz w:val="21"/>
                <w:szCs w:val="21"/>
                <w:u w:val="single"/>
                <w:lang w:val="en-US" w:eastAsia="zh-CN" w:bidi="zh-CN"/>
              </w:rPr>
              <w:t xml:space="preserve">         </w:t>
            </w:r>
            <w:r>
              <w:rPr>
                <w:rFonts w:hint="eastAsia" w:ascii="宋体" w:hAnsi="宋体" w:eastAsia="宋体" w:cs="宋体"/>
                <w:color w:val="auto"/>
                <w:kern w:val="2"/>
                <w:sz w:val="21"/>
                <w:szCs w:val="21"/>
                <w:lang w:val="en-US" w:eastAsia="zh-CN" w:bidi="zh-CN"/>
              </w:rPr>
              <w:t>元。</w:t>
            </w:r>
          </w:p>
          <w:p>
            <w:pPr>
              <w:pStyle w:val="19"/>
              <w:keepNext w:val="0"/>
              <w:keepLines w:val="0"/>
              <w:widowControl/>
              <w:suppressLineNumbers w:val="0"/>
              <w:spacing w:before="0" w:beforeAutospacing="0" w:after="0" w:afterAutospacing="0"/>
              <w:ind w:left="360" w:right="0"/>
              <w:jc w:val="both"/>
              <w:rPr>
                <w:rFonts w:hint="eastAsia"/>
                <w:color w:val="FF0000"/>
                <w:sz w:val="21"/>
                <w:szCs w:val="21"/>
                <w:lang w:val="en-US"/>
              </w:rPr>
            </w:pPr>
            <w:r>
              <w:rPr>
                <w:rFonts w:hint="default" w:ascii="宋体" w:hAnsi="宋体" w:eastAsia="宋体" w:cs="宋体"/>
                <w:color w:val="auto"/>
                <w:kern w:val="2"/>
                <w:sz w:val="21"/>
                <w:szCs w:val="21"/>
                <w:lang w:val="en-US" w:eastAsia="zh-CN" w:bidi="zh-CN"/>
              </w:rPr>
              <w:t>3</w:t>
            </w:r>
            <w:r>
              <w:rPr>
                <w:rFonts w:hint="eastAsia" w:ascii="宋体" w:hAnsi="宋体" w:eastAsia="宋体" w:cs="宋体"/>
                <w:color w:val="auto"/>
                <w:kern w:val="2"/>
                <w:sz w:val="21"/>
                <w:szCs w:val="21"/>
                <w:lang w:val="en-US" w:eastAsia="zh-CN" w:bidi="zh-CN"/>
              </w:rPr>
              <w:t>、提供发票为增值税</w:t>
            </w:r>
            <w:r>
              <w:rPr>
                <w:rFonts w:hint="eastAsia" w:ascii="宋体" w:hAnsi="宋体" w:eastAsia="宋体" w:cs="宋体"/>
                <w:color w:val="auto"/>
                <w:kern w:val="2"/>
                <w:sz w:val="21"/>
                <w:szCs w:val="21"/>
                <w:u w:val="single"/>
                <w:lang w:val="en-US" w:eastAsia="zh-CN" w:bidi="zh-CN"/>
              </w:rPr>
              <w:t xml:space="preserve"> 专用  </w:t>
            </w:r>
            <w:r>
              <w:rPr>
                <w:rFonts w:hint="eastAsia" w:ascii="宋体" w:hAnsi="宋体" w:eastAsia="宋体" w:cs="宋体"/>
                <w:color w:val="auto"/>
                <w:kern w:val="2"/>
                <w:sz w:val="21"/>
                <w:szCs w:val="21"/>
                <w:lang w:val="en-US" w:eastAsia="zh-CN" w:bidi="zh-CN"/>
              </w:rPr>
              <w:t>发票，税率为</w:t>
            </w:r>
            <w:r>
              <w:rPr>
                <w:rFonts w:hint="eastAsia" w:ascii="宋体" w:hAnsi="宋体" w:eastAsia="宋体" w:cs="宋体"/>
                <w:color w:val="auto"/>
                <w:kern w:val="2"/>
                <w:sz w:val="21"/>
                <w:szCs w:val="21"/>
                <w:u w:val="single"/>
                <w:lang w:val="en-US" w:eastAsia="zh-CN" w:bidi="zh-CN"/>
              </w:rPr>
              <w:t xml:space="preserve">  </w:t>
            </w:r>
            <w:r>
              <w:rPr>
                <w:rFonts w:hint="default" w:ascii="宋体" w:hAnsi="宋体" w:eastAsia="宋体" w:cs="宋体"/>
                <w:color w:val="auto"/>
                <w:kern w:val="2"/>
                <w:sz w:val="21"/>
                <w:szCs w:val="21"/>
                <w:u w:val="single"/>
                <w:lang w:val="en-US" w:eastAsia="zh-CN" w:bidi="zh-CN"/>
              </w:rPr>
              <w:t xml:space="preserve">13%  </w:t>
            </w:r>
            <w:r>
              <w:rPr>
                <w:rFonts w:hint="eastAsia" w:ascii="宋体" w:hAnsi="宋体" w:eastAsia="宋体" w:cs="宋体"/>
                <w:color w:val="auto"/>
                <w:kern w:val="2"/>
                <w:sz w:val="21"/>
                <w:szCs w:val="21"/>
                <w:lang w:val="en-US" w:eastAsia="zh-CN" w:bidi="zh-CN"/>
              </w:rPr>
              <w:t>。</w:t>
            </w:r>
          </w:p>
        </w:tc>
      </w:tr>
    </w:tbl>
    <w:p>
      <w:pPr>
        <w:spacing w:line="440" w:lineRule="exact"/>
        <w:ind w:left="420" w:firstLine="0" w:firstLineChars="0"/>
        <w:rPr>
          <w:rFonts w:hint="eastAsia" w:ascii="宋体" w:hAnsi="宋体" w:eastAsia="宋体" w:cs="宋体"/>
          <w:sz w:val="24"/>
          <w:szCs w:val="24"/>
        </w:rPr>
      </w:pPr>
      <w:r>
        <w:rPr>
          <w:rFonts w:hint="eastAsia" w:ascii="宋体" w:hAnsi="宋体" w:eastAsia="宋体" w:cs="宋体"/>
          <w:sz w:val="24"/>
          <w:szCs w:val="24"/>
        </w:rPr>
        <w:t>第三条 货物质量要求</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 货物质量应符合国家、行业、地方性规范（标准）要求；乙方的水泥进场应附水泥出厂合格证及产品质量证明书，并通知甲方、监理对质量进行抽检，检验合格后方可投入使用。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 货物的质量要求应符合有关施工图纸及设计文件要求，</w:t>
      </w:r>
      <w:r>
        <w:rPr>
          <w:rFonts w:hint="eastAsia" w:ascii="宋体" w:hAnsi="宋体" w:eastAsia="宋体" w:cs="宋体"/>
          <w:sz w:val="24"/>
          <w:szCs w:val="24"/>
          <w:lang w:val="en-US" w:eastAsia="zh-CN"/>
        </w:rPr>
        <w:t>货物规格按甲方要求提供，</w:t>
      </w:r>
      <w:r>
        <w:rPr>
          <w:rFonts w:hint="eastAsia" w:ascii="宋体" w:hAnsi="宋体" w:eastAsia="宋体" w:cs="宋体"/>
          <w:sz w:val="24"/>
          <w:szCs w:val="24"/>
        </w:rPr>
        <w:t>有关图纸及设计文件作为合同附件。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 本次交易采用样品封存、对照样品验收的方式。样品及样品的封存包装物由乙方免费提供，全部货物验收合格后退还乙方。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 货物质量还应符合乙方承诺的质量标准。乙方报送甲方的书面资料，包括投标文件或单独的报价文件、乙方（或生产厂家）宣传资料及乙方（或生产厂家）公开宣传的内容，均构成其承诺。</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3.5 鉴于甲方对货物质量标准的了解程度不及乙方，本合同所列明的各种质量要求或技术质量标准，应执行最高标准。</w:t>
      </w:r>
    </w:p>
    <w:p>
      <w:pPr>
        <w:spacing w:line="440" w:lineRule="exact"/>
        <w:ind w:left="420" w:firstLine="0" w:firstLineChars="0"/>
        <w:rPr>
          <w:rFonts w:hint="eastAsia" w:ascii="宋体" w:hAnsi="宋体" w:eastAsia="宋体" w:cs="宋体"/>
          <w:sz w:val="24"/>
          <w:szCs w:val="24"/>
        </w:rPr>
      </w:pPr>
      <w:r>
        <w:rPr>
          <w:rFonts w:hint="eastAsia" w:ascii="宋体" w:hAnsi="宋体" w:eastAsia="宋体" w:cs="宋体"/>
          <w:sz w:val="24"/>
          <w:szCs w:val="24"/>
        </w:rPr>
        <w:t>第四条  交货时间按下列第（2）种方式确定：</w:t>
      </w:r>
    </w:p>
    <w:p>
      <w:pPr>
        <w:pStyle w:val="62"/>
        <w:numPr>
          <w:ilvl w:val="0"/>
          <w:numId w:val="4"/>
        </w:numPr>
        <w:spacing w:line="440" w:lineRule="exact"/>
        <w:ind w:firstLineChars="0"/>
        <w:rPr>
          <w:rFonts w:hint="eastAsia" w:ascii="宋体" w:hAnsi="宋体" w:eastAsia="宋体" w:cs="宋体"/>
          <w:sz w:val="24"/>
          <w:szCs w:val="24"/>
        </w:rPr>
      </w:pPr>
      <w:r>
        <w:rPr>
          <w:rFonts w:hint="eastAsia" w:ascii="宋体" w:hAnsi="宋体" w:eastAsia="宋体" w:cs="宋体"/>
          <w:sz w:val="24"/>
          <w:szCs w:val="24"/>
          <w:u w:val="single"/>
        </w:rPr>
        <w:t xml:space="preserve">   /   </w:t>
      </w:r>
      <w:r>
        <w:rPr>
          <w:rFonts w:hint="eastAsia" w:ascii="宋体" w:hAnsi="宋体" w:eastAsia="宋体" w:cs="宋体"/>
          <w:sz w:val="24"/>
          <w:szCs w:val="24"/>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  </w:t>
      </w:r>
      <w:r>
        <w:rPr>
          <w:rFonts w:hint="eastAsia" w:ascii="宋体" w:hAnsi="宋体" w:eastAsia="宋体" w:cs="宋体"/>
          <w:sz w:val="24"/>
          <w:szCs w:val="24"/>
        </w:rPr>
        <w:t>时前交付全部货物；</w:t>
      </w:r>
    </w:p>
    <w:p>
      <w:pPr>
        <w:pStyle w:val="62"/>
        <w:numPr>
          <w:ilvl w:val="0"/>
          <w:numId w:val="4"/>
        </w:numPr>
        <w:spacing w:line="440" w:lineRule="exact"/>
        <w:ind w:firstLineChars="0"/>
        <w:rPr>
          <w:rFonts w:hint="eastAsia" w:ascii="宋体" w:hAnsi="宋体" w:eastAsia="宋体" w:cs="宋体"/>
          <w:sz w:val="24"/>
          <w:szCs w:val="24"/>
        </w:rPr>
      </w:pPr>
      <w:r>
        <w:rPr>
          <w:rFonts w:hint="eastAsia" w:ascii="宋体" w:hAnsi="宋体" w:eastAsia="宋体" w:cs="宋体"/>
          <w:sz w:val="24"/>
          <w:szCs w:val="24"/>
        </w:rPr>
        <w:t>分批交货，具体时间由甲方提前</w:t>
      </w:r>
      <w:r>
        <w:rPr>
          <w:rFonts w:hint="eastAsia" w:ascii="宋体" w:hAnsi="宋体" w:cs="宋体"/>
          <w:sz w:val="24"/>
          <w:szCs w:val="24"/>
          <w:u w:val="single"/>
          <w:lang w:val="en-US" w:eastAsia="zh-CN"/>
        </w:rPr>
        <w:t xml:space="preserve"> 3 </w:t>
      </w:r>
      <w:r>
        <w:rPr>
          <w:rFonts w:hint="eastAsia" w:ascii="宋体" w:hAnsi="宋体" w:eastAsia="宋体" w:cs="宋体"/>
          <w:sz w:val="24"/>
          <w:szCs w:val="24"/>
        </w:rPr>
        <w:t>日通知乙方。</w:t>
      </w:r>
    </w:p>
    <w:p>
      <w:pPr>
        <w:spacing w:line="440" w:lineRule="exact"/>
        <w:ind w:left="420" w:firstLine="0" w:firstLineChars="0"/>
        <w:rPr>
          <w:rFonts w:hint="eastAsia" w:ascii="宋体" w:hAnsi="宋体" w:eastAsia="宋体" w:cs="宋体"/>
          <w:sz w:val="24"/>
          <w:szCs w:val="24"/>
        </w:rPr>
      </w:pPr>
      <w:r>
        <w:rPr>
          <w:rFonts w:hint="eastAsia" w:ascii="宋体" w:hAnsi="宋体" w:eastAsia="宋体" w:cs="宋体"/>
          <w:sz w:val="24"/>
          <w:szCs w:val="24"/>
        </w:rPr>
        <w:t>第五条 交货地点</w:t>
      </w:r>
    </w:p>
    <w:p>
      <w:pPr>
        <w:pStyle w:val="19"/>
        <w:keepNext w:val="0"/>
        <w:keepLines w:val="0"/>
        <w:widowControl/>
        <w:suppressLineNumbers w:val="0"/>
        <w:spacing w:before="0" w:beforeAutospacing="0" w:after="0" w:afterAutospacing="0" w:line="44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交货地点：本工程施工地点（具体由甲方指定），由乙方负责将货物运至工程现场，</w:t>
      </w:r>
      <w:r>
        <w:rPr>
          <w:rFonts w:hint="eastAsia" w:ascii="宋体" w:hAnsi="宋体" w:eastAsia="宋体" w:cs="宋体"/>
          <w:sz w:val="24"/>
          <w:szCs w:val="24"/>
        </w:rPr>
        <w:t>运费及吊卸费由乙方承担</w:t>
      </w:r>
      <w:r>
        <w:rPr>
          <w:rFonts w:hint="eastAsia" w:ascii="宋体" w:hAnsi="宋体" w:eastAsia="宋体" w:cs="宋体"/>
          <w:color w:val="000000" w:themeColor="text1"/>
          <w:sz w:val="24"/>
          <w:szCs w:val="24"/>
          <w14:textFill>
            <w14:solidFill>
              <w14:schemeClr w14:val="tx1"/>
            </w14:solidFill>
          </w14:textFill>
        </w:rPr>
        <w:t>。甲方不承担运输过程中任何责任。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第六条 货物数量及质量验收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 甲乙双方共同对货物（包括合同约定的附件等）数量及外观质量进行验收，并在乙方的发货单上签字确认。</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数量的验收（或复核）方法、计量规则</w:t>
      </w:r>
      <w:r>
        <w:rPr>
          <w:rFonts w:hint="eastAsia" w:ascii="宋体" w:hAnsi="宋体" w:eastAsia="宋体" w:cs="宋体"/>
          <w:sz w:val="24"/>
          <w:szCs w:val="24"/>
          <w:u w:val="single"/>
        </w:rPr>
        <w:t>水泥重量按实际磅计结算，千分之三以内为合理磅差忽略不计，千分之三以外的磅差双方查找原因，协商解决。</w:t>
      </w:r>
    </w:p>
    <w:p>
      <w:pPr>
        <w:pStyle w:val="19"/>
        <w:keepNext w:val="0"/>
        <w:keepLines w:val="0"/>
        <w:widowControl/>
        <w:suppressLineNumbers w:val="0"/>
        <w:spacing w:before="0" w:beforeAutospacing="0" w:after="0" w:afterAutospacing="0" w:line="440" w:lineRule="atLeast"/>
        <w:ind w:left="0" w:right="0" w:firstLine="480"/>
        <w:jc w:val="both"/>
      </w:pPr>
      <w:r>
        <w:rPr>
          <w:rFonts w:hint="eastAsia" w:ascii="宋体" w:hAnsi="宋体" w:eastAsia="宋体" w:cs="宋体"/>
          <w:sz w:val="24"/>
          <w:szCs w:val="24"/>
        </w:rPr>
        <w:t>外观质量的验收内容及方法：</w:t>
      </w:r>
      <w:bookmarkStart w:id="46" w:name="_Hlk18216218"/>
      <w:r>
        <w:rPr>
          <w:rFonts w:hint="eastAsia" w:ascii="宋体" w:hAnsi="宋体" w:eastAsia="宋体" w:cs="宋体"/>
          <w:sz w:val="24"/>
          <w:szCs w:val="24"/>
          <w:u w:val="single"/>
        </w:rPr>
        <w:t>甲乙双方共同</w:t>
      </w:r>
      <w:r>
        <w:rPr>
          <w:rFonts w:hint="eastAsia" w:ascii="宋体" w:hAnsi="宋体" w:eastAsia="宋体" w:cs="宋体"/>
          <w:sz w:val="24"/>
          <w:szCs w:val="24"/>
          <w:u w:val="single"/>
          <w:lang w:val="en-US" w:eastAsia="zh-CN"/>
        </w:rPr>
        <w:t>按购买规格</w:t>
      </w:r>
      <w:r>
        <w:rPr>
          <w:rFonts w:hint="eastAsia" w:ascii="宋体" w:hAnsi="宋体" w:eastAsia="宋体" w:cs="宋体"/>
          <w:sz w:val="24"/>
          <w:szCs w:val="24"/>
          <w:u w:val="single"/>
        </w:rPr>
        <w:t>对货物（包括合同约定的附件等）数量及外观质量进行验收，并在乙方的销售清单上签字确认。</w:t>
      </w:r>
      <w:bookmarkEnd w:id="46"/>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 货物经甲方表观检验，如有质量异常现象的，经双方核实后确属质量问题的，甲方有权拒收或退货，并由</w:t>
      </w:r>
      <w:r>
        <w:rPr>
          <w:rFonts w:hint="eastAsia" w:ascii="宋体" w:hAnsi="宋体" w:cs="宋体"/>
          <w:sz w:val="24"/>
          <w:szCs w:val="24"/>
          <w:lang w:val="en-US" w:eastAsia="zh-CN"/>
        </w:rPr>
        <w:t>乙</w:t>
      </w:r>
      <w:r>
        <w:rPr>
          <w:rFonts w:hint="eastAsia" w:ascii="宋体" w:hAnsi="宋体" w:eastAsia="宋体" w:cs="宋体"/>
          <w:sz w:val="24"/>
          <w:szCs w:val="24"/>
        </w:rPr>
        <w:t>方承担违约责任。</w:t>
      </w:r>
    </w:p>
    <w:p>
      <w:pPr>
        <w:pStyle w:val="19"/>
        <w:keepNext w:val="0"/>
        <w:keepLines w:val="0"/>
        <w:widowControl/>
        <w:suppressLineNumbers w:val="0"/>
        <w:spacing w:before="0" w:beforeAutospacing="0" w:after="0" w:afterAutospacing="0" w:line="44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rPr>
        <w:t>6.3 交货时，乙方向甲方一并提交产品技术质量资料，包括但不限于：</w:t>
      </w:r>
      <w:r>
        <w:rPr>
          <w:rFonts w:hint="eastAsia" w:ascii="宋体" w:hAnsi="宋体" w:eastAsia="宋体" w:cs="宋体"/>
          <w:sz w:val="24"/>
          <w:szCs w:val="24"/>
          <w:u w:val="single"/>
        </w:rPr>
        <w:t>有效合格证或质量证明书、检测报告</w:t>
      </w:r>
      <w:r>
        <w:rPr>
          <w:rFonts w:hint="eastAsia" w:ascii="宋体" w:hAnsi="宋体" w:eastAsia="宋体" w:cs="宋体"/>
          <w:sz w:val="24"/>
          <w:szCs w:val="24"/>
        </w:rPr>
        <w:t>。乙方未提交上述资料的，视为货物交付未完成，甲方有权不予结算付款。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 货物进场后，应当进行检测、检验（试验），相关费用由</w:t>
      </w:r>
      <w:r>
        <w:rPr>
          <w:rFonts w:hint="eastAsia" w:ascii="宋体" w:hAnsi="宋体" w:eastAsia="宋体" w:cs="宋体"/>
          <w:sz w:val="24"/>
          <w:szCs w:val="24"/>
          <w:u w:val="single"/>
        </w:rPr>
        <w:t>甲</w:t>
      </w:r>
      <w:r>
        <w:rPr>
          <w:rFonts w:hint="eastAsia" w:ascii="宋体" w:hAnsi="宋体" w:eastAsia="宋体" w:cs="宋体"/>
          <w:sz w:val="24"/>
          <w:szCs w:val="24"/>
        </w:rPr>
        <w:t>方承担；检测、检验（试验）的内容及方式为：</w:t>
      </w:r>
      <w:r>
        <w:rPr>
          <w:rFonts w:hint="eastAsia" w:ascii="宋体" w:hAnsi="宋体" w:eastAsia="宋体" w:cs="宋体"/>
          <w:sz w:val="24"/>
          <w:szCs w:val="24"/>
          <w:u w:val="single"/>
        </w:rPr>
        <w:t>送至有相关资质的检测机构检测</w:t>
      </w:r>
      <w:r>
        <w:rPr>
          <w:rFonts w:hint="eastAsia" w:ascii="宋体" w:hAnsi="宋体" w:eastAsia="宋体" w:cs="宋体"/>
          <w:sz w:val="24"/>
          <w:szCs w:val="24"/>
        </w:rPr>
        <w:t>。检测、检验（试验）不合格的，视为货物交付未完成，并由乙方承担违约责任。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6.5 货物质量需要在投入使用或安装、调试、运行后才能验证的，经验收合格，方可视为货物质量合格，否则，视为货物交付未完成，并由乙方承担违约责任。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6.6 甲方采取抽样验收合格的，不能视为乙方全部物资质量合格。</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6.7 甲方依照法律规定或合同约定退货的，如乙方在</w:t>
      </w:r>
      <w:r>
        <w:rPr>
          <w:rFonts w:hint="eastAsia" w:ascii="宋体" w:hAnsi="宋体" w:cs="宋体"/>
          <w:sz w:val="24"/>
          <w:szCs w:val="24"/>
          <w:u w:val="single"/>
          <w:lang w:val="en-US" w:eastAsia="zh-CN"/>
        </w:rPr>
        <w:t>3</w:t>
      </w:r>
      <w:r>
        <w:rPr>
          <w:rFonts w:hint="eastAsia" w:ascii="宋体" w:hAnsi="宋体" w:eastAsia="宋体" w:cs="宋体"/>
          <w:sz w:val="24"/>
          <w:szCs w:val="24"/>
        </w:rPr>
        <w:t>日内不退回货物，视为乙方放弃货物所有权，甲方可在无需支付货款的条件下处置该货物，处置费用由乙方承担。</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第七条 包装、附件</w:t>
      </w:r>
    </w:p>
    <w:p>
      <w:pPr>
        <w:spacing w:line="360" w:lineRule="auto"/>
        <w:ind w:firstLine="480" w:firstLineChars="200"/>
        <w:jc w:val="both"/>
        <w:rPr>
          <w:rFonts w:hint="eastAsia" w:ascii="宋体" w:hAnsi="宋体" w:eastAsia="宋体" w:cs="宋体"/>
          <w:sz w:val="24"/>
          <w:szCs w:val="24"/>
          <w:u w:val="single"/>
        </w:rPr>
      </w:pPr>
      <w:r>
        <w:rPr>
          <w:rFonts w:hint="eastAsia" w:ascii="宋体" w:hAnsi="宋体" w:eastAsia="宋体" w:cs="宋体"/>
          <w:sz w:val="24"/>
          <w:szCs w:val="24"/>
        </w:rPr>
        <w:t>7.1 乙方提供的货物包装应符合国家有关同类或类似货物的包装标准，确保与基其运输、装卸和储存条件相适应。</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7.2 乙方应当向甲方提供相应的附件（</w:t>
      </w:r>
      <w:r>
        <w:rPr>
          <w:rFonts w:hint="eastAsia" w:ascii="宋体" w:hAnsi="宋体" w:eastAsia="宋体" w:cs="宋体"/>
          <w:sz w:val="24"/>
          <w:szCs w:val="24"/>
          <w:u w:val="single"/>
        </w:rPr>
        <w:t>质保单、出厂合格证</w:t>
      </w:r>
      <w:r>
        <w:rPr>
          <w:rFonts w:hint="eastAsia" w:ascii="宋体" w:hAnsi="宋体" w:eastAsia="宋体" w:cs="宋体"/>
          <w:sz w:val="24"/>
          <w:szCs w:val="24"/>
        </w:rPr>
        <w:t>等）；</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第八条 其他约定</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第九条 价款调整、结算、发票、付款</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9.1 本合同的价款，按下列第（3）方式确定：</w:t>
      </w:r>
    </w:p>
    <w:p>
      <w:pPr>
        <w:tabs>
          <w:tab w:val="left" w:pos="6762"/>
        </w:tabs>
        <w:spacing w:line="360" w:lineRule="auto"/>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（1）固定总</w:t>
      </w:r>
      <w:r>
        <w:rPr>
          <w:rFonts w:hint="eastAsia" w:ascii="宋体" w:hAnsi="宋体" w:cs="宋体"/>
          <w:sz w:val="24"/>
          <w:szCs w:val="24"/>
          <w:highlight w:val="none"/>
          <w:lang w:val="en-US" w:eastAsia="zh-CN"/>
        </w:rPr>
        <w:t>价</w:t>
      </w:r>
      <w:r>
        <w:rPr>
          <w:rFonts w:hint="eastAsia" w:ascii="宋体" w:hAnsi="宋体" w:eastAsia="宋体" w:cs="宋体"/>
          <w:sz w:val="24"/>
          <w:szCs w:val="24"/>
          <w:highlight w:val="none"/>
        </w:rPr>
        <w:t>，如仅供应部分货物，则按以下方式结算：</w:t>
      </w:r>
      <w:r>
        <w:rPr>
          <w:rFonts w:hint="eastAsia" w:ascii="宋体" w:hAnsi="宋体" w:eastAsia="宋体" w:cs="宋体"/>
          <w:sz w:val="24"/>
          <w:szCs w:val="24"/>
          <w:highlight w:val="none"/>
        </w:rPr>
        <w:tab/>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（2）固定单价，不可调价。</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（3）可调价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散装P.042.5水泥单价按供货月杭州市含税信息价下浮 </w:t>
      </w:r>
    </w:p>
    <w:p>
      <w:pPr>
        <w:pStyle w:val="5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cs="宋体"/>
          <w:sz w:val="24"/>
          <w:szCs w:val="24"/>
          <w:highlight w:val="none"/>
          <w:lang w:val="en-US" w:eastAsia="zh-CN"/>
        </w:rPr>
        <w:t>2</w:t>
      </w:r>
      <w:r>
        <w:rPr>
          <w:rFonts w:hint="eastAsia" w:ascii="宋体" w:hAnsi="宋体" w:eastAsia="宋体" w:cs="宋体"/>
          <w:sz w:val="24"/>
          <w:szCs w:val="24"/>
          <w:highlight w:val="none"/>
        </w:rPr>
        <w:t xml:space="preserve"> 供货完毕，乙方向甲方提供结算单，由甲方项目经理或者委托代理人签字确认结算</w:t>
      </w:r>
      <w:r>
        <w:rPr>
          <w:rFonts w:hint="eastAsia" w:cs="宋体"/>
          <w:sz w:val="24"/>
          <w:szCs w:val="24"/>
          <w:highlight w:val="none"/>
          <w:lang w:eastAsia="zh-CN"/>
        </w:rPr>
        <w:t>，</w:t>
      </w:r>
      <w:r>
        <w:rPr>
          <w:rFonts w:hint="eastAsia"/>
          <w:sz w:val="24"/>
          <w:szCs w:val="24"/>
          <w:highlight w:val="none"/>
        </w:rPr>
        <w:t>付款时间及方式：</w:t>
      </w:r>
      <w:r>
        <w:rPr>
          <w:rFonts w:hint="eastAsia"/>
          <w:color w:val="auto"/>
          <w:sz w:val="24"/>
          <w:szCs w:val="24"/>
          <w:highlight w:val="none"/>
          <w:lang w:val="en-US"/>
        </w:rPr>
        <w:t>先货后款，按月结算。</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 除非本合同有特别约定，否则，所有税费均已含入本合同</w:t>
      </w:r>
      <w:r>
        <w:rPr>
          <w:rFonts w:hint="eastAsia" w:ascii="宋体" w:hAnsi="宋体" w:eastAsia="宋体" w:cs="宋体"/>
          <w:sz w:val="24"/>
          <w:szCs w:val="24"/>
        </w:rPr>
        <w:t>价款。乙方每次申请付款前，乙方应按甲方确认的结算金额，提供足额的增值税</w:t>
      </w:r>
      <w:r>
        <w:rPr>
          <w:rFonts w:hint="eastAsia" w:ascii="宋体" w:hAnsi="宋体" w:eastAsia="宋体" w:cs="宋体"/>
          <w:sz w:val="24"/>
          <w:szCs w:val="24"/>
          <w:u w:val="single"/>
        </w:rPr>
        <w:t>专用</w:t>
      </w:r>
      <w:r>
        <w:rPr>
          <w:rFonts w:hint="eastAsia" w:ascii="宋体" w:hAnsi="宋体" w:eastAsia="宋体" w:cs="宋体"/>
          <w:sz w:val="24"/>
          <w:szCs w:val="24"/>
        </w:rPr>
        <w:t>发票。乙方未能提供合法有效的增值税</w:t>
      </w:r>
      <w:r>
        <w:rPr>
          <w:rFonts w:hint="eastAsia" w:ascii="宋体" w:hAnsi="宋体" w:eastAsia="宋体" w:cs="宋体"/>
          <w:sz w:val="24"/>
          <w:szCs w:val="24"/>
          <w:u w:val="single"/>
        </w:rPr>
        <w:t>专用</w:t>
      </w:r>
      <w:r>
        <w:rPr>
          <w:rFonts w:hint="eastAsia" w:ascii="宋体" w:hAnsi="宋体" w:eastAsia="宋体" w:cs="宋体"/>
          <w:sz w:val="24"/>
          <w:szCs w:val="24"/>
        </w:rPr>
        <w:t>发票的，或乙方提交的增值税</w:t>
      </w:r>
      <w:r>
        <w:rPr>
          <w:rFonts w:hint="eastAsia" w:ascii="宋体" w:hAnsi="宋体" w:eastAsia="宋体" w:cs="宋体"/>
          <w:sz w:val="24"/>
          <w:szCs w:val="24"/>
          <w:u w:val="single"/>
        </w:rPr>
        <w:t>专用</w:t>
      </w:r>
      <w:r>
        <w:rPr>
          <w:rFonts w:hint="eastAsia" w:ascii="宋体" w:hAnsi="宋体" w:eastAsia="宋体" w:cs="宋体"/>
          <w:sz w:val="24"/>
          <w:szCs w:val="24"/>
        </w:rPr>
        <w:t>发票金额与结算金额不一致的（结算金额以结算单确认为准），应承担合同总额（含增值税）</w:t>
      </w:r>
      <w:r>
        <w:rPr>
          <w:rFonts w:hint="eastAsia" w:ascii="宋体" w:hAnsi="宋体" w:eastAsia="宋体" w:cs="宋体"/>
          <w:sz w:val="24"/>
          <w:szCs w:val="24"/>
          <w:u w:val="single"/>
        </w:rPr>
        <w:t>1</w:t>
      </w:r>
      <w:r>
        <w:rPr>
          <w:rFonts w:hint="eastAsia" w:ascii="宋体" w:hAnsi="宋体" w:cs="宋体"/>
          <w:sz w:val="24"/>
          <w:szCs w:val="24"/>
          <w:u w:val="single"/>
          <w:lang w:val="en-US" w:eastAsia="zh-CN"/>
        </w:rPr>
        <w:t>0</w:t>
      </w:r>
      <w:r>
        <w:rPr>
          <w:rFonts w:hint="eastAsia" w:ascii="宋体" w:hAnsi="宋体" w:eastAsia="宋体" w:cs="宋体"/>
          <w:sz w:val="24"/>
          <w:szCs w:val="24"/>
        </w:rPr>
        <w:t>%的违约金，同时甲方有权不予</w:t>
      </w:r>
      <w:r>
        <w:rPr>
          <w:rFonts w:hint="eastAsia" w:ascii="宋体" w:hAnsi="宋体" w:eastAsia="宋体" w:cs="宋体"/>
          <w:sz w:val="24"/>
          <w:szCs w:val="24"/>
          <w:highlight w:val="none"/>
        </w:rPr>
        <w:t>付款。因发票问题使得甲方蒙受损失（包括罚款、处理费用、经营受到影响等）的，乙方应当承担全部责任，并赔偿损失。</w:t>
      </w:r>
    </w:p>
    <w:p>
      <w:pPr>
        <w:pStyle w:val="19"/>
        <w:keepNext w:val="0"/>
        <w:keepLines w:val="0"/>
        <w:widowControl/>
        <w:suppressLineNumbers w:val="0"/>
        <w:spacing w:before="0" w:beforeAutospacing="0" w:after="0" w:afterAutospacing="0" w:line="360" w:lineRule="auto"/>
        <w:ind w:left="0" w:right="0" w:firstLine="360"/>
      </w:pPr>
      <w:r>
        <w:rPr>
          <w:rFonts w:hint="eastAsia" w:ascii="宋体" w:hAnsi="宋体" w:eastAsia="宋体" w:cs="宋体"/>
          <w:sz w:val="24"/>
          <w:szCs w:val="24"/>
          <w:highlight w:val="none"/>
        </w:rPr>
        <w:t>9.</w:t>
      </w:r>
      <w:r>
        <w:rPr>
          <w:rFonts w:hint="eastAsia" w:cs="宋体"/>
          <w:sz w:val="24"/>
          <w:szCs w:val="24"/>
          <w:highlight w:val="none"/>
          <w:lang w:val="en-US" w:eastAsia="zh-CN"/>
        </w:rPr>
        <w:t>4</w:t>
      </w:r>
      <w:r>
        <w:rPr>
          <w:rFonts w:hint="eastAsia" w:ascii="宋体" w:hAnsi="宋体" w:eastAsia="宋体" w:cs="宋体"/>
          <w:sz w:val="24"/>
          <w:szCs w:val="24"/>
          <w:highlight w:val="none"/>
        </w:rPr>
        <w:t xml:space="preserve"> 付款时间、比例：</w:t>
      </w:r>
      <w:r>
        <w:rPr>
          <w:rFonts w:hint="eastAsia" w:ascii="宋体" w:hAnsi="宋体" w:cs="宋体"/>
          <w:sz w:val="24"/>
          <w:szCs w:val="24"/>
          <w:highlight w:val="none"/>
          <w:u w:val="single"/>
          <w:lang w:val="en-US" w:eastAsia="zh-CN"/>
        </w:rPr>
        <w:t>按月结算，</w:t>
      </w:r>
      <w:r>
        <w:rPr>
          <w:rFonts w:hint="eastAsia" w:ascii="宋体" w:hAnsi="宋体" w:eastAsia="宋体" w:cs="宋体"/>
          <w:color w:val="000000" w:themeColor="text1"/>
          <w:sz w:val="24"/>
          <w:szCs w:val="24"/>
          <w:highlight w:val="none"/>
          <w:u w:val="single"/>
          <w14:textFill>
            <w14:solidFill>
              <w14:schemeClr w14:val="tx1"/>
            </w14:solidFill>
          </w14:textFill>
        </w:rPr>
        <w:t>乙方开具足额增值税专用发票（税率13%）到甲方</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sz w:val="24"/>
          <w:szCs w:val="24"/>
          <w:u w:val="single"/>
        </w:rPr>
        <w:t>次月</w:t>
      </w:r>
      <w:r>
        <w:rPr>
          <w:rFonts w:hint="default" w:ascii="Times New Roman" w:hAnsi="Times New Roman" w:cs="Times New Roman"/>
          <w:sz w:val="24"/>
          <w:szCs w:val="24"/>
          <w:u w:val="single"/>
        </w:rPr>
        <w:t>25</w:t>
      </w:r>
      <w:r>
        <w:rPr>
          <w:rFonts w:hint="eastAsia" w:ascii="宋体" w:hAnsi="宋体" w:eastAsia="宋体" w:cs="宋体"/>
          <w:sz w:val="24"/>
          <w:szCs w:val="24"/>
          <w:u w:val="single"/>
        </w:rPr>
        <w:t>日前付清上月</w:t>
      </w:r>
      <w:r>
        <w:rPr>
          <w:rFonts w:hint="default" w:ascii="Times New Roman" w:hAnsi="Times New Roman" w:cs="Times New Roman"/>
          <w:sz w:val="24"/>
          <w:szCs w:val="24"/>
          <w:u w:val="single"/>
        </w:rPr>
        <w:t>80%</w:t>
      </w:r>
      <w:r>
        <w:rPr>
          <w:rFonts w:hint="eastAsia" w:ascii="宋体" w:hAnsi="宋体" w:eastAsia="宋体" w:cs="宋体"/>
          <w:sz w:val="24"/>
          <w:szCs w:val="24"/>
          <w:u w:val="single"/>
        </w:rPr>
        <w:t>货款，项目完工水泥供货完毕后付至总货款的</w:t>
      </w:r>
      <w:r>
        <w:rPr>
          <w:rFonts w:hint="default" w:ascii="Times New Roman" w:hAnsi="Times New Roman" w:cs="Times New Roman"/>
          <w:sz w:val="24"/>
          <w:szCs w:val="24"/>
          <w:u w:val="single"/>
        </w:rPr>
        <w:t>100%</w:t>
      </w:r>
      <w:r>
        <w:rPr>
          <w:rFonts w:hint="eastAsia" w:ascii="宋体" w:hAnsi="宋体" w:eastAsia="宋体" w:cs="宋体"/>
          <w:sz w:val="24"/>
          <w:szCs w:val="24"/>
          <w:u w:val="singl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第十条 违约责任、合同的解除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 甲方未按合同约定的付款期限和比例支付货款的，逾期付款超过</w:t>
      </w:r>
      <w:r>
        <w:rPr>
          <w:rFonts w:hint="eastAsia" w:ascii="宋体" w:hAnsi="宋体" w:eastAsia="宋体" w:cs="宋体"/>
          <w:sz w:val="24"/>
          <w:szCs w:val="24"/>
          <w:lang w:val="en-US" w:eastAsia="zh-CN"/>
        </w:rPr>
        <w:t>12</w:t>
      </w:r>
      <w:r>
        <w:rPr>
          <w:rFonts w:hint="eastAsia" w:ascii="宋体" w:hAnsi="宋体" w:eastAsia="宋体" w:cs="宋体"/>
          <w:sz w:val="24"/>
          <w:szCs w:val="24"/>
        </w:rPr>
        <w:t>个月，则就应付未付金额部分按照每日万分之二的标准，承担逾期付款违约金。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乙方未按合同约定的时间履行其交货义务（包括安装、调试、检测等义务，如合同有此约定）的，每延迟一日，按</w:t>
      </w:r>
      <w:r>
        <w:rPr>
          <w:rFonts w:hint="eastAsia" w:ascii="宋体" w:hAnsi="宋体" w:eastAsia="宋体" w:cs="宋体"/>
          <w:sz w:val="24"/>
          <w:szCs w:val="24"/>
          <w:u w:val="single"/>
        </w:rPr>
        <w:t>1000</w:t>
      </w:r>
      <w:r>
        <w:rPr>
          <w:rFonts w:hint="eastAsia" w:ascii="宋体" w:hAnsi="宋体" w:eastAsia="宋体" w:cs="宋体"/>
          <w:sz w:val="24"/>
          <w:szCs w:val="24"/>
        </w:rPr>
        <w:t>元/日的标准承担迟延违约金；甲方工地停工待料产生的费用等实际损失高于该标准的，按实际损失赔偿，乙方迟延供货超过</w:t>
      </w:r>
      <w:r>
        <w:rPr>
          <w:rFonts w:hint="eastAsia" w:ascii="宋体" w:hAnsi="宋体" w:eastAsia="宋体" w:cs="宋体"/>
          <w:sz w:val="24"/>
          <w:szCs w:val="24"/>
          <w:u w:val="single"/>
        </w:rPr>
        <w:t>7</w:t>
      </w:r>
      <w:r>
        <w:rPr>
          <w:rFonts w:hint="eastAsia" w:ascii="宋体" w:hAnsi="宋体" w:eastAsia="宋体" w:cs="宋体"/>
          <w:sz w:val="24"/>
          <w:szCs w:val="24"/>
        </w:rPr>
        <w:t>日，甲方有权解除合同。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乙方供应的货物质量不符合约定或产权不合法，甲方要求或同意更换货物的，执行上款规定。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10.3因乙方违约，甲方解除合同的，乙方除按10.2条款约定承担迟延供货违约金外，还就额外承担相应的违约金，以弥补甲方另行购买所发生的误工及其他损失。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10.4 乙方违约的，甲方可从当期应付款中直接扣除相应的违约金，或在结算中扣减相应价款，也可另行追偿。</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第十一条 合同授权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甲方授权下列人员行使本合同履约过程中的各项职权：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梁涛</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15067490509</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职权：签署结算单据，依据本合同约定处理索赔事宜。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未取得甲方书面授权的人员所签署的任何文件、协议，以及获得授权的人员超越书面授权范围所签署的任何文件、协议，一概无效，且甲方对此不承担任何责任。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乙方授权下列人员行使本合同履约过程中的各项职权：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），全权负责合同的履行，包括但不限于：签署发料单，签收甲方发出的各类通知，确认结算金额，变更合同条款，处理索赔事宜等。</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一方如变更授权，应及时书面通知对方。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第十二条 送达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 乙方可按本合同第十一条约定，向有权限的甲方人员当面送达，由其签收。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 甲方可按以下方式向乙方送达：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（1）按本合同第十二条约定，向有权限的乙方人员当面送达，或以电话通知方式向其送达，甲方保留的语音通话记录、短信等可作为送达凭据。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（2）甲方亦可按以下地址邮寄送达：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乙方地址：</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邮    编：</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收 件 人：</w:t>
      </w:r>
      <w:r>
        <w:rPr>
          <w:rFonts w:hint="eastAsia" w:ascii="宋体" w:hAnsi="宋体" w:eastAsia="宋体" w:cs="宋体"/>
          <w:sz w:val="24"/>
          <w:szCs w:val="24"/>
          <w:lang w:val="en-US" w:eastAsia="zh-CN"/>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收件人电话：</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一方送达方式如发生变更，应及时书面通知对方，否则责任自负。</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第十三条 争议解决</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全合同在履行过程中发生的争议，如双方当事人协商不成，双方约定采用下列第</w:t>
      </w:r>
      <w:r>
        <w:rPr>
          <w:rFonts w:hint="eastAsia" w:ascii="宋体" w:hAnsi="宋体" w:eastAsia="宋体" w:cs="宋体"/>
          <w:sz w:val="24"/>
          <w:szCs w:val="24"/>
          <w:highlight w:val="none"/>
          <w:u w:val="single"/>
        </w:rPr>
        <w:t xml:space="preserve">2 </w:t>
      </w:r>
      <w:r>
        <w:rPr>
          <w:rFonts w:hint="eastAsia" w:ascii="宋体" w:hAnsi="宋体" w:eastAsia="宋体" w:cs="宋体"/>
          <w:sz w:val="24"/>
          <w:szCs w:val="24"/>
          <w:highlight w:val="none"/>
        </w:rPr>
        <w:t>种方式解决争议：</w:t>
      </w:r>
    </w:p>
    <w:p>
      <w:pPr>
        <w:pStyle w:val="62"/>
        <w:numPr>
          <w:ilvl w:val="0"/>
          <w:numId w:val="5"/>
        </w:numPr>
        <w:spacing w:line="44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向申请仲裁；</w:t>
      </w:r>
    </w:p>
    <w:p>
      <w:pPr>
        <w:pStyle w:val="62"/>
        <w:numPr>
          <w:ilvl w:val="0"/>
          <w:numId w:val="5"/>
        </w:numPr>
        <w:spacing w:line="44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向甲方工程所在地人民法院起诉。</w:t>
      </w:r>
    </w:p>
    <w:p>
      <w:pPr>
        <w:spacing w:line="440" w:lineRule="exact"/>
        <w:ind w:left="42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第十四条 合同变更</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如需变更本合同条款，应签订书面协议，并加盖双</w:t>
      </w:r>
      <w:r>
        <w:rPr>
          <w:rFonts w:hint="eastAsia" w:ascii="宋体" w:hAnsi="宋体" w:eastAsia="宋体" w:cs="宋体"/>
          <w:sz w:val="24"/>
          <w:szCs w:val="24"/>
        </w:rPr>
        <w:t>方印章，方才有效。本合同中除填写空格部分外，手写修改之徙必须加盖双方印章方才有效：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第十五条 合同的生效及份数</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cs="宋体"/>
          <w:sz w:val="24"/>
          <w:szCs w:val="24"/>
          <w:u w:val="single"/>
          <w:lang w:val="en-US" w:eastAsia="zh-CN"/>
        </w:rPr>
        <w:t xml:space="preserve">  6  </w:t>
      </w:r>
      <w:r>
        <w:rPr>
          <w:rFonts w:hint="eastAsia" w:ascii="宋体" w:hAnsi="宋体" w:eastAsia="宋体" w:cs="宋体"/>
          <w:sz w:val="24"/>
          <w:szCs w:val="24"/>
        </w:rPr>
        <w:t>份，甲方执</w:t>
      </w:r>
      <w:r>
        <w:rPr>
          <w:rFonts w:hint="eastAsia" w:ascii="宋体" w:hAnsi="宋体" w:cs="宋体"/>
          <w:sz w:val="24"/>
          <w:szCs w:val="24"/>
          <w:u w:val="single"/>
          <w:lang w:val="en-US" w:eastAsia="zh-CN"/>
        </w:rPr>
        <w:t xml:space="preserve">  4  </w:t>
      </w:r>
      <w:r>
        <w:rPr>
          <w:rFonts w:hint="eastAsia" w:ascii="宋体" w:hAnsi="宋体" w:eastAsia="宋体" w:cs="宋体"/>
          <w:sz w:val="24"/>
          <w:szCs w:val="24"/>
        </w:rPr>
        <w:t>份，乙方执</w:t>
      </w:r>
      <w:r>
        <w:rPr>
          <w:rFonts w:hint="eastAsia" w:ascii="宋体" w:hAnsi="宋体" w:cs="宋体"/>
          <w:sz w:val="24"/>
          <w:szCs w:val="24"/>
          <w:u w:val="single"/>
          <w:lang w:val="en-US" w:eastAsia="zh-CN"/>
        </w:rPr>
        <w:t xml:space="preserve">  2  </w:t>
      </w:r>
      <w:r>
        <w:rPr>
          <w:rFonts w:hint="eastAsia" w:ascii="宋体" w:hAnsi="宋体" w:eastAsia="宋体" w:cs="宋体"/>
          <w:sz w:val="24"/>
          <w:szCs w:val="24"/>
        </w:rPr>
        <w:t>份，自双方签字盖章之日起生效。</w:t>
      </w:r>
    </w:p>
    <w:p>
      <w:pPr>
        <w:spacing w:line="440" w:lineRule="exact"/>
        <w:ind w:firstLine="480" w:firstLineChars="200"/>
        <w:rPr>
          <w:rFonts w:hint="eastAsia" w:ascii="宋体" w:hAnsi="宋体" w:eastAsia="宋体" w:cs="宋体"/>
          <w:sz w:val="24"/>
          <w:szCs w:val="24"/>
        </w:rPr>
      </w:pPr>
    </w:p>
    <w:tbl>
      <w:tblPr>
        <w:tblStyle w:val="2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jc w:val="center"/>
        </w:trPr>
        <w:tc>
          <w:tcPr>
            <w:tcW w:w="2500" w:type="pct"/>
            <w:tcBorders>
              <w:tl2br w:val="nil"/>
              <w:tr2bl w:val="nil"/>
            </w:tcBorders>
            <w:vAlign w:val="center"/>
          </w:tcPr>
          <w:p>
            <w:pPr>
              <w:spacing w:line="440" w:lineRule="exact"/>
              <w:jc w:val="both"/>
              <w:rPr>
                <w:rFonts w:hint="eastAsia" w:ascii="宋体" w:hAnsi="宋体" w:eastAsia="宋体" w:cs="宋体"/>
                <w:sz w:val="24"/>
                <w:szCs w:val="24"/>
              </w:rPr>
            </w:pPr>
            <w:r>
              <w:rPr>
                <w:rFonts w:hint="eastAsia" w:ascii="宋体" w:hAnsi="宋体" w:eastAsia="宋体" w:cs="宋体"/>
                <w:sz w:val="24"/>
                <w:szCs w:val="24"/>
              </w:rPr>
              <w:t>甲方（公章）：浙江省隧道工程集团</w:t>
            </w:r>
          </w:p>
          <w:p>
            <w:pPr>
              <w:spacing w:line="440" w:lineRule="exact"/>
              <w:jc w:val="both"/>
              <w:rPr>
                <w:rFonts w:hint="eastAsia" w:ascii="宋体" w:hAnsi="宋体" w:eastAsia="宋体" w:cs="宋体"/>
                <w:sz w:val="24"/>
                <w:szCs w:val="24"/>
                <w:vertAlign w:val="baseline"/>
              </w:rPr>
            </w:pPr>
            <w:r>
              <w:rPr>
                <w:rFonts w:hint="eastAsia" w:ascii="宋体" w:hAnsi="宋体" w:eastAsia="宋体" w:cs="宋体"/>
                <w:sz w:val="24"/>
                <w:szCs w:val="24"/>
              </w:rPr>
              <w:t>有限公司</w:t>
            </w:r>
          </w:p>
        </w:tc>
        <w:tc>
          <w:tcPr>
            <w:tcW w:w="2500" w:type="pct"/>
            <w:tcBorders>
              <w:tl2br w:val="nil"/>
              <w:tr2bl w:val="nil"/>
            </w:tcBorders>
            <w:vAlign w:val="center"/>
          </w:tcPr>
          <w:p>
            <w:pPr>
              <w:spacing w:line="440" w:lineRule="exact"/>
              <w:jc w:val="both"/>
              <w:rPr>
                <w:rFonts w:hint="eastAsia" w:ascii="宋体" w:hAnsi="宋体" w:eastAsia="宋体" w:cs="宋体"/>
                <w:sz w:val="24"/>
                <w:szCs w:val="24"/>
                <w:vertAlign w:val="baseline"/>
              </w:rPr>
            </w:pPr>
            <w:r>
              <w:rPr>
                <w:rFonts w:hint="eastAsia" w:ascii="宋体" w:hAnsi="宋体" w:eastAsia="宋体" w:cs="宋体"/>
                <w:sz w:val="24"/>
                <w:szCs w:val="24"/>
              </w:rPr>
              <w:t>乙方（公章）：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00" w:type="pct"/>
            <w:tcBorders>
              <w:tl2br w:val="nil"/>
              <w:tr2bl w:val="nil"/>
            </w:tcBorders>
            <w:vAlign w:val="center"/>
          </w:tcPr>
          <w:p>
            <w:pPr>
              <w:spacing w:line="440" w:lineRule="exact"/>
              <w:jc w:val="both"/>
              <w:rPr>
                <w:rFonts w:hint="eastAsia" w:ascii="宋体" w:hAnsi="宋体" w:eastAsia="宋体" w:cs="宋体"/>
                <w:sz w:val="24"/>
                <w:szCs w:val="24"/>
                <w:vertAlign w:val="baseline"/>
              </w:rPr>
            </w:pPr>
            <w:r>
              <w:rPr>
                <w:rFonts w:hint="eastAsia" w:ascii="宋体" w:hAnsi="宋体" w:eastAsia="宋体" w:cs="宋体"/>
                <w:sz w:val="24"/>
                <w:szCs w:val="24"/>
              </w:rPr>
              <w:t>法定代表人：</w:t>
            </w:r>
          </w:p>
        </w:tc>
        <w:tc>
          <w:tcPr>
            <w:tcW w:w="2500" w:type="pct"/>
            <w:tcBorders>
              <w:tl2br w:val="nil"/>
              <w:tr2bl w:val="nil"/>
            </w:tcBorders>
            <w:vAlign w:val="center"/>
          </w:tcPr>
          <w:p>
            <w:pPr>
              <w:spacing w:line="440" w:lineRule="exact"/>
              <w:jc w:val="both"/>
              <w:rPr>
                <w:rFonts w:hint="eastAsia" w:ascii="宋体" w:hAnsi="宋体" w:eastAsia="宋体" w:cs="宋体"/>
                <w:sz w:val="24"/>
                <w:szCs w:val="24"/>
                <w:vertAlign w:val="baseline"/>
              </w:rPr>
            </w:pPr>
            <w:r>
              <w:rPr>
                <w:rFonts w:hint="eastAsia" w:ascii="宋体" w:hAnsi="宋体" w:eastAsia="宋体" w:cs="宋体"/>
                <w:sz w:val="24"/>
                <w:szCs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00" w:type="pct"/>
            <w:tcBorders>
              <w:tl2br w:val="nil"/>
              <w:tr2bl w:val="nil"/>
            </w:tcBorders>
            <w:vAlign w:val="center"/>
          </w:tcPr>
          <w:p>
            <w:pPr>
              <w:spacing w:line="440" w:lineRule="exact"/>
              <w:jc w:val="both"/>
              <w:rPr>
                <w:rFonts w:hint="eastAsia" w:ascii="宋体" w:hAnsi="宋体" w:eastAsia="宋体" w:cs="宋体"/>
                <w:sz w:val="24"/>
                <w:szCs w:val="24"/>
                <w:vertAlign w:val="baseline"/>
              </w:rPr>
            </w:pPr>
            <w:r>
              <w:rPr>
                <w:rFonts w:hint="eastAsia" w:ascii="宋体" w:hAnsi="宋体" w:eastAsia="宋体" w:cs="宋体"/>
                <w:sz w:val="24"/>
                <w:szCs w:val="24"/>
              </w:rPr>
              <w:t>开户行：建设银行杭州市之江支行</w:t>
            </w:r>
          </w:p>
        </w:tc>
        <w:tc>
          <w:tcPr>
            <w:tcW w:w="2500" w:type="pct"/>
            <w:tcBorders>
              <w:tl2br w:val="nil"/>
              <w:tr2bl w:val="nil"/>
            </w:tcBorders>
            <w:vAlign w:val="center"/>
          </w:tcPr>
          <w:p>
            <w:pPr>
              <w:spacing w:line="440" w:lineRule="exact"/>
              <w:jc w:val="both"/>
              <w:rPr>
                <w:rFonts w:hint="eastAsia" w:ascii="宋体" w:hAnsi="宋体" w:eastAsia="宋体" w:cs="宋体"/>
                <w:sz w:val="24"/>
                <w:szCs w:val="24"/>
                <w:vertAlign w:val="baseline"/>
              </w:rPr>
            </w:pPr>
            <w:r>
              <w:rPr>
                <w:rFonts w:hint="eastAsia" w:ascii="宋体" w:hAnsi="宋体" w:eastAsia="宋体" w:cs="宋体"/>
                <w:sz w:val="24"/>
                <w:szCs w:val="24"/>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00" w:type="pct"/>
            <w:tcBorders>
              <w:tl2br w:val="nil"/>
              <w:tr2bl w:val="nil"/>
            </w:tcBorders>
            <w:vAlign w:val="center"/>
          </w:tcPr>
          <w:p>
            <w:pPr>
              <w:spacing w:line="440" w:lineRule="exact"/>
              <w:jc w:val="both"/>
              <w:rPr>
                <w:rFonts w:hint="eastAsia" w:ascii="宋体" w:hAnsi="宋体" w:eastAsia="宋体" w:cs="宋体"/>
                <w:sz w:val="24"/>
                <w:szCs w:val="24"/>
                <w:vertAlign w:val="baseline"/>
              </w:rPr>
            </w:pPr>
            <w:r>
              <w:rPr>
                <w:rFonts w:hint="eastAsia" w:ascii="宋体" w:hAnsi="宋体" w:eastAsia="宋体" w:cs="宋体"/>
                <w:sz w:val="24"/>
                <w:szCs w:val="24"/>
              </w:rPr>
              <w:t>银行账号：33001616335050007702</w:t>
            </w:r>
          </w:p>
        </w:tc>
        <w:tc>
          <w:tcPr>
            <w:tcW w:w="2500" w:type="pct"/>
            <w:tcBorders>
              <w:tl2br w:val="nil"/>
              <w:tr2bl w:val="nil"/>
            </w:tcBorders>
            <w:vAlign w:val="center"/>
          </w:tcPr>
          <w:p>
            <w:pPr>
              <w:spacing w:line="440" w:lineRule="exact"/>
              <w:jc w:val="both"/>
              <w:rPr>
                <w:rFonts w:hint="eastAsia" w:ascii="宋体" w:hAnsi="宋体" w:eastAsia="宋体" w:cs="宋体"/>
                <w:sz w:val="24"/>
                <w:szCs w:val="24"/>
                <w:vertAlign w:val="baseline"/>
              </w:rPr>
            </w:pPr>
            <w:r>
              <w:rPr>
                <w:rFonts w:hint="eastAsia" w:ascii="宋体" w:hAnsi="宋体" w:eastAsia="宋体" w:cs="宋体"/>
                <w:sz w:val="24"/>
                <w:szCs w:val="24"/>
              </w:rPr>
              <w:t>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00" w:type="pct"/>
            <w:tcBorders>
              <w:tl2br w:val="nil"/>
              <w:tr2bl w:val="nil"/>
            </w:tcBorders>
            <w:vAlign w:val="center"/>
          </w:tcPr>
          <w:p>
            <w:pPr>
              <w:spacing w:line="440" w:lineRule="exact"/>
              <w:jc w:val="both"/>
              <w:rPr>
                <w:rFonts w:hint="eastAsia" w:ascii="宋体" w:hAnsi="宋体" w:eastAsia="宋体" w:cs="宋体"/>
                <w:sz w:val="24"/>
                <w:szCs w:val="24"/>
                <w:vertAlign w:val="baseline"/>
              </w:rPr>
            </w:pPr>
            <w:r>
              <w:rPr>
                <w:rFonts w:hint="eastAsia" w:ascii="宋体" w:hAnsi="宋体" w:eastAsia="宋体" w:cs="宋体"/>
                <w:sz w:val="24"/>
                <w:szCs w:val="24"/>
              </w:rPr>
              <w:t>委托代理人：</w:t>
            </w:r>
          </w:p>
        </w:tc>
        <w:tc>
          <w:tcPr>
            <w:tcW w:w="2500" w:type="pct"/>
            <w:tcBorders>
              <w:tl2br w:val="nil"/>
              <w:tr2bl w:val="nil"/>
            </w:tcBorders>
            <w:vAlign w:val="center"/>
          </w:tcPr>
          <w:p>
            <w:pPr>
              <w:spacing w:line="440" w:lineRule="exact"/>
              <w:jc w:val="both"/>
              <w:rPr>
                <w:rFonts w:hint="eastAsia" w:ascii="宋体" w:hAnsi="宋体" w:eastAsia="宋体" w:cs="宋体"/>
                <w:sz w:val="24"/>
                <w:szCs w:val="24"/>
                <w:vertAlign w:val="baseline"/>
              </w:rPr>
            </w:pPr>
            <w:r>
              <w:rPr>
                <w:rFonts w:hint="eastAsia" w:ascii="宋体" w:hAnsi="宋体" w:eastAsia="宋体" w:cs="宋体"/>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00" w:type="pct"/>
            <w:tcBorders>
              <w:tl2br w:val="nil"/>
              <w:tr2bl w:val="nil"/>
            </w:tcBorders>
            <w:vAlign w:val="center"/>
          </w:tcPr>
          <w:p>
            <w:pPr>
              <w:spacing w:line="440" w:lineRule="exact"/>
              <w:jc w:val="both"/>
              <w:rPr>
                <w:rFonts w:hint="eastAsia" w:ascii="宋体" w:hAnsi="宋体" w:eastAsia="宋体" w:cs="宋体"/>
                <w:sz w:val="24"/>
                <w:szCs w:val="24"/>
                <w:vertAlign w:val="baseline"/>
              </w:rPr>
            </w:pPr>
            <w:r>
              <w:rPr>
                <w:rFonts w:hint="eastAsia" w:ascii="宋体" w:hAnsi="宋体" w:eastAsia="宋体" w:cs="宋体"/>
                <w:sz w:val="24"/>
                <w:szCs w:val="24"/>
              </w:rPr>
              <w:t>联系电话：</w:t>
            </w:r>
          </w:p>
        </w:tc>
        <w:tc>
          <w:tcPr>
            <w:tcW w:w="2500" w:type="pct"/>
            <w:tcBorders>
              <w:tl2br w:val="nil"/>
              <w:tr2bl w:val="nil"/>
            </w:tcBorders>
            <w:vAlign w:val="center"/>
          </w:tcPr>
          <w:p>
            <w:pPr>
              <w:spacing w:line="44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00" w:type="pct"/>
            <w:tcBorders>
              <w:tl2br w:val="nil"/>
              <w:tr2bl w:val="nil"/>
            </w:tcBorders>
            <w:vAlign w:val="center"/>
          </w:tcPr>
          <w:p>
            <w:pPr>
              <w:spacing w:line="440" w:lineRule="exact"/>
              <w:jc w:val="right"/>
              <w:rPr>
                <w:rFonts w:hint="eastAsia" w:ascii="宋体" w:hAnsi="宋体" w:eastAsia="宋体" w:cs="宋体"/>
                <w:sz w:val="24"/>
                <w:szCs w:val="24"/>
                <w:vertAlign w:val="baseline"/>
              </w:rPr>
            </w:pPr>
            <w:r>
              <w:rPr>
                <w:rFonts w:hint="eastAsia" w:ascii="宋体" w:hAnsi="宋体" w:eastAsia="宋体" w:cs="宋体"/>
                <w:sz w:val="24"/>
                <w:szCs w:val="24"/>
              </w:rPr>
              <w:t xml:space="preserve">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日</w:t>
            </w:r>
          </w:p>
        </w:tc>
        <w:tc>
          <w:tcPr>
            <w:tcW w:w="2500" w:type="pct"/>
            <w:tcBorders>
              <w:tl2br w:val="nil"/>
              <w:tr2bl w:val="nil"/>
            </w:tcBorders>
            <w:vAlign w:val="center"/>
          </w:tcPr>
          <w:p>
            <w:pPr>
              <w:spacing w:line="440" w:lineRule="exact"/>
              <w:jc w:val="right"/>
              <w:rPr>
                <w:rFonts w:hint="eastAsia" w:ascii="宋体" w:hAnsi="宋体" w:eastAsia="宋体" w:cs="宋体"/>
                <w:sz w:val="24"/>
                <w:szCs w:val="24"/>
                <w:vertAlign w:val="baseline"/>
              </w:rPr>
            </w:pPr>
            <w:r>
              <w:rPr>
                <w:rFonts w:hint="eastAsia" w:ascii="宋体" w:hAnsi="宋体" w:eastAsia="宋体" w:cs="宋体"/>
                <w:sz w:val="24"/>
                <w:szCs w:val="24"/>
              </w:rPr>
              <w:t xml:space="preserve">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日</w:t>
            </w:r>
          </w:p>
        </w:tc>
      </w:tr>
    </w:tbl>
    <w:p>
      <w:pPr>
        <w:rPr>
          <w:rFonts w:ascii="宋体" w:hAnsi="宋体" w:cs="Arial"/>
          <w:b/>
          <w:sz w:val="36"/>
        </w:rPr>
      </w:pPr>
      <w:r>
        <w:rPr>
          <w:rFonts w:ascii="宋体" w:hAnsi="宋体" w:cs="Arial"/>
          <w:b/>
          <w:sz w:val="36"/>
        </w:rPr>
        <w:br w:type="page"/>
      </w:r>
    </w:p>
    <w:p>
      <w:pPr>
        <w:snapToGrid w:val="0"/>
        <w:spacing w:line="360" w:lineRule="auto"/>
        <w:jc w:val="center"/>
        <w:rPr>
          <w:rFonts w:ascii="宋体" w:hAnsi="宋体" w:cs="Arial"/>
          <w:b/>
          <w:sz w:val="36"/>
        </w:rPr>
      </w:pPr>
      <w:r>
        <w:rPr>
          <w:rFonts w:ascii="宋体" w:hAnsi="宋体" w:cs="Arial"/>
          <w:b/>
          <w:sz w:val="36"/>
        </w:rPr>
        <w:t xml:space="preserve">第五部分  </w:t>
      </w:r>
      <w:r>
        <w:rPr>
          <w:rFonts w:ascii="宋体" w:hAnsi="宋体" w:cs="Arial"/>
          <w:b/>
          <w:bCs/>
          <w:sz w:val="36"/>
          <w:szCs w:val="36"/>
        </w:rPr>
        <w:t>应提交的有关格式范例</w:t>
      </w:r>
    </w:p>
    <w:p>
      <w:pPr>
        <w:pStyle w:val="3"/>
        <w:spacing w:line="240" w:lineRule="auto"/>
        <w:jc w:val="center"/>
        <w:rPr>
          <w:rFonts w:hAnsi="宋体" w:cs="Arial"/>
          <w:kern w:val="0"/>
        </w:rPr>
      </w:pPr>
    </w:p>
    <w:p>
      <w:pPr>
        <w:spacing w:line="360" w:lineRule="auto"/>
        <w:jc w:val="center"/>
        <w:outlineLvl w:val="0"/>
        <w:rPr>
          <w:rFonts w:ascii="宋体" w:hAnsi="宋体" w:cs="Arial"/>
          <w:b/>
          <w:kern w:val="0"/>
          <w:sz w:val="32"/>
          <w:szCs w:val="32"/>
        </w:rPr>
      </w:pPr>
      <w:r>
        <w:rPr>
          <w:rFonts w:hint="eastAsia" w:ascii="宋体" w:hAnsi="宋体" w:cs="Arial"/>
          <w:b/>
          <w:kern w:val="0"/>
          <w:sz w:val="32"/>
          <w:szCs w:val="32"/>
        </w:rPr>
        <w:t>投 标 函</w:t>
      </w:r>
    </w:p>
    <w:p>
      <w:pPr>
        <w:spacing w:line="360" w:lineRule="auto"/>
        <w:ind w:left="420"/>
        <w:jc w:val="left"/>
        <w:rPr>
          <w:rFonts w:ascii="宋体" w:hAnsi="宋体"/>
          <w:sz w:val="24"/>
        </w:rPr>
      </w:pPr>
      <w:r>
        <w:rPr>
          <w:rFonts w:hint="eastAsia" w:ascii="宋体" w:hAnsi="宋体"/>
          <w:b/>
          <w:sz w:val="24"/>
        </w:rPr>
        <w:t>浙江省隧道工程集团有限公司：</w:t>
      </w:r>
    </w:p>
    <w:p>
      <w:pPr>
        <w:pStyle w:val="11"/>
        <w:snapToGrid w:val="0"/>
        <w:spacing w:before="120" w:beforeLines="50" w:line="360" w:lineRule="auto"/>
        <w:ind w:left="479" w:leftChars="228" w:firstLine="480" w:firstLineChars="200"/>
        <w:rPr>
          <w:rFonts w:hAnsi="宋体"/>
          <w:sz w:val="24"/>
        </w:rPr>
      </w:pPr>
      <w:r>
        <w:rPr>
          <w:rFonts w:hint="eastAsia" w:hAnsi="宋体"/>
          <w:sz w:val="24"/>
        </w:rPr>
        <w:t>我方作为</w:t>
      </w:r>
      <w:r>
        <w:rPr>
          <w:rFonts w:hint="eastAsia" w:hAnsi="宋体" w:cs="Arial"/>
          <w:sz w:val="24"/>
          <w:u w:val="single"/>
        </w:rPr>
        <w:t>扩大杭嘉湖南排后续西部通道（南北线）工程南段设计采购施工（EPC）总承包</w:t>
      </w:r>
      <w:r>
        <w:rPr>
          <w:rFonts w:hint="eastAsia" w:hAnsi="宋体" w:cs="Arial"/>
          <w:sz w:val="24"/>
          <w:u w:val="single"/>
          <w:lang w:val="en-US" w:eastAsia="zh-CN"/>
        </w:rPr>
        <w:t>水泥</w:t>
      </w:r>
      <w:r>
        <w:rPr>
          <w:rFonts w:hint="eastAsia"/>
          <w:sz w:val="24"/>
          <w:szCs w:val="24"/>
          <w:u w:val="single"/>
        </w:rPr>
        <w:t>采购</w:t>
      </w:r>
      <w:r>
        <w:rPr>
          <w:rFonts w:hint="eastAsia" w:hAnsi="宋体"/>
          <w:sz w:val="24"/>
        </w:rPr>
        <w:t>的投标人，在遵守本次招标文件规定的前提下，作出如下郑重承诺：</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1.在投标期间，我方将严格遵守《中华人民共和国招标投标法》、《中华人民共和国反不正当竞争法》等法律、法规的规定，并承担相关的法律责任。 </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3.我方将认真对待本次投标，完全接受招标人依照规定作出的评标和定标结果。如果我方有幸中标，作为本项目服务机构，我方将履行约定的所有义务和责任，不转让或变相转让中标结果。 </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4.本承诺具有相对独立性，不管是否有其他相反的说明。本承诺既是我方投标书的有效组成内容，也是我方真实意思的表示，对我方在与本次招标有关的任何行为中始终具有优先的法律约束力。</w:t>
      </w:r>
    </w:p>
    <w:p>
      <w:pPr>
        <w:adjustRightInd w:val="0"/>
        <w:snapToGrid w:val="0"/>
        <w:spacing w:line="360" w:lineRule="auto"/>
        <w:ind w:left="420"/>
        <w:jc w:val="left"/>
        <w:rPr>
          <w:rFonts w:ascii="宋体" w:hAnsi="宋体"/>
          <w:sz w:val="24"/>
        </w:rPr>
      </w:pPr>
    </w:p>
    <w:p>
      <w:pPr>
        <w:adjustRightInd w:val="0"/>
        <w:snapToGrid w:val="0"/>
        <w:spacing w:line="360" w:lineRule="auto"/>
        <w:ind w:left="420"/>
        <w:jc w:val="left"/>
        <w:rPr>
          <w:rFonts w:ascii="宋体" w:hAnsi="宋体"/>
          <w:sz w:val="24"/>
        </w:rPr>
      </w:pPr>
    </w:p>
    <w:p>
      <w:pPr>
        <w:adjustRightInd w:val="0"/>
        <w:snapToGrid w:val="0"/>
        <w:spacing w:line="360" w:lineRule="auto"/>
        <w:ind w:left="420"/>
        <w:jc w:val="left"/>
        <w:rPr>
          <w:rFonts w:hint="eastAsia" w:ascii="宋体" w:hAnsi="宋体"/>
          <w:sz w:val="24"/>
        </w:rPr>
      </w:pPr>
    </w:p>
    <w:p>
      <w:pPr>
        <w:adjustRightInd w:val="0"/>
        <w:snapToGrid w:val="0"/>
        <w:spacing w:line="360" w:lineRule="auto"/>
        <w:ind w:left="420"/>
        <w:jc w:val="left"/>
        <w:rPr>
          <w:rFonts w:ascii="宋体" w:hAnsi="宋体"/>
          <w:sz w:val="24"/>
        </w:rPr>
      </w:pPr>
    </w:p>
    <w:p>
      <w:pPr>
        <w:adjustRightInd w:val="0"/>
        <w:snapToGrid w:val="0"/>
        <w:spacing w:line="360" w:lineRule="auto"/>
        <w:ind w:left="420"/>
        <w:jc w:val="left"/>
        <w:rPr>
          <w:rFonts w:ascii="宋体" w:hAnsi="宋体"/>
          <w:sz w:val="24"/>
        </w:rPr>
      </w:pPr>
    </w:p>
    <w:p>
      <w:pPr>
        <w:adjustRightInd w:val="0"/>
        <w:snapToGrid w:val="0"/>
        <w:spacing w:line="360" w:lineRule="auto"/>
        <w:ind w:right="26" w:firstLine="3840" w:firstLineChars="1600"/>
        <w:rPr>
          <w:rFonts w:ascii="宋体" w:hAnsi="宋体"/>
          <w:sz w:val="24"/>
        </w:rPr>
      </w:pPr>
      <w:r>
        <w:rPr>
          <w:rFonts w:hint="eastAsia" w:ascii="宋体" w:hAnsi="宋体"/>
          <w:sz w:val="24"/>
        </w:rPr>
        <w:t>投标单位 (盖章) ：</w:t>
      </w:r>
    </w:p>
    <w:p>
      <w:pPr>
        <w:adjustRightInd w:val="0"/>
        <w:snapToGrid w:val="0"/>
        <w:spacing w:line="360" w:lineRule="auto"/>
        <w:ind w:right="26" w:firstLine="3840" w:firstLineChars="1600"/>
        <w:rPr>
          <w:rFonts w:ascii="宋体" w:hAnsi="宋体"/>
          <w:sz w:val="24"/>
        </w:rPr>
      </w:pPr>
      <w:r>
        <w:rPr>
          <w:rFonts w:hint="eastAsia" w:ascii="宋体" w:hAnsi="宋体"/>
          <w:sz w:val="24"/>
        </w:rPr>
        <w:t>法定代表人(或委托代理人)签字：</w:t>
      </w:r>
    </w:p>
    <w:p>
      <w:pPr>
        <w:adjustRightInd w:val="0"/>
        <w:snapToGrid w:val="0"/>
        <w:spacing w:line="360" w:lineRule="auto"/>
        <w:ind w:right="26" w:firstLine="3840" w:firstLineChars="1600"/>
        <w:rPr>
          <w:rFonts w:ascii="宋体" w:hAnsi="宋体"/>
          <w:sz w:val="24"/>
        </w:rPr>
      </w:pPr>
      <w:r>
        <w:rPr>
          <w:rFonts w:hint="eastAsia" w:ascii="宋体" w:hAnsi="宋体"/>
          <w:sz w:val="24"/>
        </w:rPr>
        <w:t>日期：       年     月    日</w:t>
      </w:r>
    </w:p>
    <w:p>
      <w:pPr>
        <w:spacing w:line="360" w:lineRule="auto"/>
        <w:jc w:val="center"/>
        <w:outlineLvl w:val="0"/>
        <w:rPr>
          <w:rFonts w:hint="eastAsia" w:ascii="宋体" w:hAnsi="宋体" w:cs="Arial"/>
          <w:b/>
          <w:kern w:val="0"/>
          <w:sz w:val="32"/>
          <w:szCs w:val="32"/>
        </w:rPr>
      </w:pPr>
      <w:bookmarkStart w:id="47" w:name="_Toc228002635"/>
      <w:bookmarkStart w:id="48" w:name="_Toc243928860"/>
    </w:p>
    <w:p>
      <w:pPr>
        <w:spacing w:line="360" w:lineRule="auto"/>
        <w:jc w:val="center"/>
        <w:outlineLvl w:val="0"/>
        <w:rPr>
          <w:rFonts w:hint="eastAsia" w:ascii="宋体" w:hAnsi="宋体" w:cs="Arial"/>
          <w:b/>
          <w:kern w:val="0"/>
          <w:sz w:val="32"/>
          <w:szCs w:val="32"/>
        </w:rPr>
      </w:pPr>
    </w:p>
    <w:p>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开标一览表</w:t>
      </w:r>
    </w:p>
    <w:p>
      <w:pPr>
        <w:adjustRightInd w:val="0"/>
        <w:snapToGrid w:val="0"/>
        <w:spacing w:line="360" w:lineRule="auto"/>
        <w:jc w:val="left"/>
        <w:rPr>
          <w:rFonts w:hint="eastAsia" w:ascii="宋体" w:hAnsi="宋体"/>
          <w:sz w:val="24"/>
        </w:rPr>
      </w:pPr>
    </w:p>
    <w:p>
      <w:pPr>
        <w:adjustRightInd w:val="0"/>
        <w:snapToGrid w:val="0"/>
        <w:spacing w:line="360" w:lineRule="auto"/>
        <w:jc w:val="left"/>
        <w:rPr>
          <w:rFonts w:hint="eastAsia" w:ascii="宋体" w:hAnsi="宋体"/>
          <w:sz w:val="24"/>
        </w:rPr>
      </w:pPr>
      <w:r>
        <w:rPr>
          <w:rFonts w:hint="eastAsia" w:ascii="宋体" w:hAnsi="宋体"/>
          <w:sz w:val="24"/>
        </w:rPr>
        <w:t>浙江省隧道工程集团有限公司：</w:t>
      </w:r>
    </w:p>
    <w:p>
      <w:pPr>
        <w:adjustRightInd w:val="0"/>
        <w:snapToGrid w:val="0"/>
        <w:spacing w:line="360" w:lineRule="auto"/>
        <w:ind w:firstLine="480" w:firstLineChars="200"/>
        <w:jc w:val="left"/>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按你方招标文件要求，我们</w:t>
      </w:r>
      <w:r>
        <w:rPr>
          <w:rFonts w:hint="eastAsia" w:ascii="宋体" w:hAnsi="宋体" w:eastAsia="宋体" w:cs="宋体"/>
          <w:color w:val="auto"/>
          <w:kern w:val="2"/>
          <w:sz w:val="24"/>
          <w:szCs w:val="24"/>
          <w:u w:val="single"/>
          <w:lang w:val="en-US" w:eastAsia="zh-CN" w:bidi="zh-CN"/>
        </w:rPr>
        <w:t xml:space="preserve">          </w:t>
      </w:r>
      <w:r>
        <w:rPr>
          <w:rFonts w:hint="eastAsia" w:ascii="宋体" w:hAnsi="宋体" w:eastAsia="宋体" w:cs="宋体"/>
          <w:color w:val="auto"/>
          <w:kern w:val="2"/>
          <w:sz w:val="24"/>
          <w:szCs w:val="24"/>
          <w:lang w:val="en-US" w:eastAsia="zh-CN" w:bidi="zh-CN"/>
        </w:rPr>
        <w:t>，本标书签字方，谨此向你方发出要约如下：如你方接受本投标，我方承诺按以下开标一览表的服务内容和期限，安排相关人员来完成编号为</w:t>
      </w:r>
      <w:r>
        <w:rPr>
          <w:rFonts w:hint="eastAsia" w:ascii="宋体" w:hAnsi="宋体" w:eastAsia="宋体" w:cs="宋体"/>
          <w:color w:val="auto"/>
          <w:kern w:val="2"/>
          <w:sz w:val="24"/>
          <w:szCs w:val="24"/>
          <w:u w:val="single"/>
          <w:lang w:val="en-US" w:eastAsia="zh-CN" w:bidi="zh-CN"/>
        </w:rPr>
        <w:t xml:space="preserve"> ZJSD-NP-2023</w:t>
      </w:r>
      <w:r>
        <w:rPr>
          <w:rFonts w:hint="eastAsia" w:ascii="宋体" w:hAnsi="宋体" w:cs="宋体"/>
          <w:color w:val="auto"/>
          <w:kern w:val="2"/>
          <w:sz w:val="24"/>
          <w:szCs w:val="24"/>
          <w:u w:val="single"/>
          <w:lang w:val="en-US" w:eastAsia="zh-CN" w:bidi="zh-CN"/>
        </w:rPr>
        <w:t>0821</w:t>
      </w:r>
      <w:r>
        <w:rPr>
          <w:rFonts w:hint="eastAsia" w:ascii="宋体" w:hAnsi="宋体" w:eastAsia="宋体" w:cs="宋体"/>
          <w:color w:val="auto"/>
          <w:kern w:val="2"/>
          <w:sz w:val="24"/>
          <w:szCs w:val="24"/>
          <w:u w:val="single"/>
          <w:lang w:val="en-US" w:eastAsia="zh-CN" w:bidi="zh-CN"/>
        </w:rPr>
        <w:t xml:space="preserve"> </w:t>
      </w:r>
      <w:r>
        <w:rPr>
          <w:rFonts w:hint="eastAsia" w:ascii="宋体" w:hAnsi="宋体" w:eastAsia="宋体" w:cs="宋体"/>
          <w:color w:val="auto"/>
          <w:kern w:val="2"/>
          <w:sz w:val="24"/>
          <w:szCs w:val="24"/>
          <w:lang w:val="en-US" w:eastAsia="zh-CN" w:bidi="zh-CN"/>
        </w:rPr>
        <w:t>的招标文件（项目名称：</w:t>
      </w:r>
      <w:r>
        <w:rPr>
          <w:rFonts w:hint="eastAsia" w:ascii="宋体" w:hAnsi="宋体"/>
          <w:sz w:val="24"/>
        </w:rPr>
        <w:t>扩大杭嘉湖南排后续西部通道（南北线）工程南段设计采购施工（EPC）总承包</w:t>
      </w:r>
      <w:r>
        <w:rPr>
          <w:rFonts w:hint="eastAsia" w:ascii="宋体" w:hAnsi="宋体" w:eastAsia="宋体" w:cs="宋体"/>
          <w:color w:val="auto"/>
          <w:kern w:val="2"/>
          <w:sz w:val="24"/>
          <w:szCs w:val="24"/>
          <w:lang w:val="en-US" w:eastAsia="zh-CN" w:bidi="zh-CN"/>
        </w:rPr>
        <w:t>）项目的</w:t>
      </w:r>
      <w:r>
        <w:rPr>
          <w:rFonts w:hint="eastAsia" w:ascii="宋体" w:hAnsi="宋体" w:cs="宋体"/>
          <w:color w:val="auto"/>
          <w:kern w:val="2"/>
          <w:sz w:val="24"/>
          <w:szCs w:val="24"/>
          <w:lang w:val="en-US" w:eastAsia="zh-CN" w:bidi="zh-CN"/>
        </w:rPr>
        <w:t>水泥</w:t>
      </w:r>
      <w:r>
        <w:rPr>
          <w:rFonts w:hint="eastAsia" w:ascii="宋体" w:hAnsi="宋体" w:eastAsia="宋体" w:cs="宋体"/>
          <w:color w:val="auto"/>
          <w:kern w:val="2"/>
          <w:sz w:val="24"/>
          <w:szCs w:val="24"/>
          <w:lang w:val="en-US" w:eastAsia="zh-CN" w:bidi="zh-CN"/>
        </w:rPr>
        <w:t>材料供应。</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sz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Theme="minorEastAsia"/>
          <w:sz w:val="24"/>
          <w:lang w:eastAsia="zh-CN"/>
        </w:rPr>
      </w:pPr>
      <w:r>
        <w:rPr>
          <w:rFonts w:hint="eastAsia" w:ascii="宋体" w:hAnsi="宋体"/>
          <w:sz w:val="24"/>
          <w:lang w:eastAsia="zh-CN"/>
        </w:rPr>
        <w:t>开标一览表</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22"/>
        <w:gridCol w:w="1134"/>
        <w:gridCol w:w="592"/>
        <w:gridCol w:w="1011"/>
        <w:gridCol w:w="1332"/>
        <w:gridCol w:w="1469"/>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64" w:type="pct"/>
            <w:noWrap w:val="0"/>
            <w:vAlign w:val="center"/>
          </w:tcPr>
          <w:p>
            <w:pPr>
              <w:adjustRightInd w:val="0"/>
              <w:snapToGrid w:val="0"/>
              <w:spacing w:line="240" w:lineRule="auto"/>
              <w:jc w:val="center"/>
              <w:rPr>
                <w:rFonts w:hint="eastAsia" w:ascii="宋体" w:hAnsi="宋体"/>
                <w:b/>
                <w:sz w:val="24"/>
              </w:rPr>
            </w:pPr>
            <w:r>
              <w:rPr>
                <w:rFonts w:hint="eastAsia" w:ascii="宋体" w:hAnsi="宋体"/>
                <w:b/>
                <w:sz w:val="24"/>
              </w:rPr>
              <w:t>品 名</w:t>
            </w:r>
          </w:p>
        </w:tc>
        <w:tc>
          <w:tcPr>
            <w:tcW w:w="654" w:type="pct"/>
            <w:noWrap w:val="0"/>
            <w:vAlign w:val="center"/>
          </w:tcPr>
          <w:p>
            <w:pPr>
              <w:adjustRightInd w:val="0"/>
              <w:snapToGrid w:val="0"/>
              <w:spacing w:line="240" w:lineRule="auto"/>
              <w:jc w:val="center"/>
              <w:rPr>
                <w:rFonts w:hint="eastAsia" w:ascii="宋体" w:hAnsi="宋体"/>
                <w:b/>
                <w:sz w:val="24"/>
              </w:rPr>
            </w:pPr>
            <w:r>
              <w:rPr>
                <w:rFonts w:hint="eastAsia" w:ascii="宋体" w:hAnsi="宋体"/>
                <w:b/>
                <w:sz w:val="24"/>
              </w:rPr>
              <w:t>规格型号</w:t>
            </w:r>
          </w:p>
        </w:tc>
        <w:tc>
          <w:tcPr>
            <w:tcW w:w="607" w:type="pct"/>
            <w:noWrap w:val="0"/>
            <w:vAlign w:val="center"/>
          </w:tcPr>
          <w:p>
            <w:pPr>
              <w:adjustRightInd w:val="0"/>
              <w:snapToGrid w:val="0"/>
              <w:spacing w:line="240" w:lineRule="auto"/>
              <w:jc w:val="center"/>
              <w:rPr>
                <w:rFonts w:hint="eastAsia" w:ascii="宋体" w:hAnsi="宋体"/>
                <w:b/>
                <w:sz w:val="24"/>
              </w:rPr>
            </w:pPr>
            <w:r>
              <w:rPr>
                <w:rFonts w:hint="eastAsia" w:ascii="宋体" w:hAnsi="宋体"/>
                <w:b/>
                <w:sz w:val="24"/>
              </w:rPr>
              <w:t>质量</w:t>
            </w:r>
          </w:p>
          <w:p>
            <w:pPr>
              <w:adjustRightInd w:val="0"/>
              <w:snapToGrid w:val="0"/>
              <w:spacing w:line="240" w:lineRule="auto"/>
              <w:jc w:val="center"/>
              <w:rPr>
                <w:rFonts w:hint="eastAsia" w:ascii="宋体" w:hAnsi="宋体"/>
                <w:b/>
                <w:sz w:val="24"/>
              </w:rPr>
            </w:pPr>
            <w:r>
              <w:rPr>
                <w:rFonts w:hint="eastAsia" w:ascii="宋体" w:hAnsi="宋体"/>
                <w:b/>
                <w:sz w:val="24"/>
              </w:rPr>
              <w:t>标准</w:t>
            </w:r>
          </w:p>
        </w:tc>
        <w:tc>
          <w:tcPr>
            <w:tcW w:w="317" w:type="pct"/>
            <w:noWrap w:val="0"/>
            <w:vAlign w:val="center"/>
          </w:tcPr>
          <w:p>
            <w:pPr>
              <w:adjustRightInd w:val="0"/>
              <w:snapToGrid w:val="0"/>
              <w:spacing w:line="240" w:lineRule="auto"/>
              <w:jc w:val="center"/>
              <w:rPr>
                <w:rFonts w:hint="eastAsia" w:ascii="宋体" w:hAnsi="宋体"/>
                <w:b/>
                <w:sz w:val="24"/>
              </w:rPr>
            </w:pPr>
            <w:r>
              <w:rPr>
                <w:rFonts w:hint="eastAsia" w:ascii="宋体" w:hAnsi="宋体"/>
                <w:b/>
                <w:sz w:val="24"/>
              </w:rPr>
              <w:t>单位</w:t>
            </w:r>
          </w:p>
        </w:tc>
        <w:tc>
          <w:tcPr>
            <w:tcW w:w="541" w:type="pct"/>
            <w:noWrap w:val="0"/>
            <w:vAlign w:val="center"/>
          </w:tcPr>
          <w:p>
            <w:pPr>
              <w:adjustRightInd w:val="0"/>
              <w:snapToGrid w:val="0"/>
              <w:spacing w:line="240" w:lineRule="auto"/>
              <w:jc w:val="center"/>
              <w:rPr>
                <w:rFonts w:hint="eastAsia" w:ascii="宋体" w:hAnsi="宋体"/>
                <w:b/>
                <w:sz w:val="24"/>
              </w:rPr>
            </w:pPr>
            <w:r>
              <w:rPr>
                <w:rFonts w:hint="eastAsia" w:ascii="宋体" w:hAnsi="宋体"/>
                <w:b/>
                <w:sz w:val="24"/>
              </w:rPr>
              <w:t>暂定</w:t>
            </w:r>
          </w:p>
          <w:p>
            <w:pPr>
              <w:adjustRightInd w:val="0"/>
              <w:snapToGrid w:val="0"/>
              <w:spacing w:line="240" w:lineRule="auto"/>
              <w:jc w:val="center"/>
              <w:rPr>
                <w:rFonts w:hint="eastAsia" w:ascii="宋体" w:hAnsi="宋体"/>
                <w:b/>
                <w:sz w:val="24"/>
              </w:rPr>
            </w:pPr>
            <w:r>
              <w:rPr>
                <w:rFonts w:hint="eastAsia" w:ascii="宋体" w:hAnsi="宋体"/>
                <w:b/>
                <w:sz w:val="24"/>
              </w:rPr>
              <w:t>工程量</w:t>
            </w:r>
          </w:p>
        </w:tc>
        <w:tc>
          <w:tcPr>
            <w:tcW w:w="713" w:type="pct"/>
            <w:noWrap w:val="0"/>
            <w:vAlign w:val="center"/>
          </w:tcPr>
          <w:p>
            <w:pPr>
              <w:adjustRightInd w:val="0"/>
              <w:snapToGrid w:val="0"/>
              <w:spacing w:line="240" w:lineRule="auto"/>
              <w:jc w:val="center"/>
              <w:rPr>
                <w:rFonts w:hint="eastAsia" w:ascii="宋体" w:hAnsi="宋体"/>
                <w:b/>
                <w:sz w:val="24"/>
              </w:rPr>
            </w:pPr>
            <w:r>
              <w:rPr>
                <w:rFonts w:hint="eastAsia" w:ascii="宋体" w:hAnsi="宋体"/>
                <w:b/>
                <w:sz w:val="24"/>
              </w:rPr>
              <w:t>投标报价</w:t>
            </w:r>
          </w:p>
          <w:p>
            <w:pPr>
              <w:adjustRightInd w:val="0"/>
              <w:snapToGrid w:val="0"/>
              <w:spacing w:line="240" w:lineRule="auto"/>
              <w:jc w:val="center"/>
              <w:rPr>
                <w:rFonts w:hint="eastAsia" w:ascii="宋体" w:hAnsi="宋体"/>
                <w:b/>
                <w:sz w:val="24"/>
              </w:rPr>
            </w:pPr>
            <w:r>
              <w:rPr>
                <w:rFonts w:hint="eastAsia" w:ascii="宋体" w:hAnsi="宋体"/>
                <w:b/>
                <w:sz w:val="24"/>
              </w:rPr>
              <w:t>（元/吨）</w:t>
            </w:r>
          </w:p>
        </w:tc>
        <w:tc>
          <w:tcPr>
            <w:tcW w:w="786" w:type="pct"/>
            <w:noWrap w:val="0"/>
            <w:vAlign w:val="center"/>
          </w:tcPr>
          <w:p>
            <w:pPr>
              <w:adjustRightInd w:val="0"/>
              <w:snapToGrid w:val="0"/>
              <w:spacing w:line="240" w:lineRule="auto"/>
              <w:jc w:val="center"/>
              <w:rPr>
                <w:rFonts w:hint="eastAsia" w:ascii="宋体" w:hAnsi="宋体"/>
                <w:b/>
                <w:sz w:val="24"/>
              </w:rPr>
            </w:pPr>
            <w:r>
              <w:rPr>
                <w:rFonts w:hint="eastAsia" w:ascii="宋体" w:hAnsi="宋体"/>
                <w:b/>
                <w:sz w:val="24"/>
              </w:rPr>
              <w:t>合价</w:t>
            </w:r>
          </w:p>
          <w:p>
            <w:pPr>
              <w:adjustRightInd w:val="0"/>
              <w:snapToGrid w:val="0"/>
              <w:spacing w:line="240" w:lineRule="auto"/>
              <w:jc w:val="center"/>
              <w:rPr>
                <w:rFonts w:hint="eastAsia" w:ascii="宋体" w:hAnsi="宋体"/>
                <w:b/>
                <w:sz w:val="24"/>
              </w:rPr>
            </w:pPr>
            <w:r>
              <w:rPr>
                <w:rFonts w:hint="eastAsia" w:ascii="宋体" w:hAnsi="宋体"/>
                <w:b/>
                <w:sz w:val="24"/>
              </w:rPr>
              <w:t>（元）</w:t>
            </w:r>
          </w:p>
        </w:tc>
        <w:tc>
          <w:tcPr>
            <w:tcW w:w="715" w:type="pct"/>
            <w:noWrap w:val="0"/>
            <w:vAlign w:val="center"/>
          </w:tcPr>
          <w:p>
            <w:pPr>
              <w:adjustRightInd w:val="0"/>
              <w:snapToGrid w:val="0"/>
              <w:spacing w:line="240" w:lineRule="auto"/>
              <w:jc w:val="center"/>
              <w:rPr>
                <w:rFonts w:hint="eastAsia" w:ascii="宋体" w:hAnsi="宋体"/>
                <w:b/>
                <w:sz w:val="24"/>
              </w:rPr>
            </w:pPr>
            <w:r>
              <w:rPr>
                <w:rFonts w:hint="eastAsia" w:ascii="宋体" w:hAnsi="宋体"/>
                <w:b/>
                <w:sz w:val="24"/>
              </w:rPr>
              <w:t>备注</w:t>
            </w:r>
          </w:p>
          <w:p>
            <w:pPr>
              <w:adjustRightInd w:val="0"/>
              <w:snapToGrid w:val="0"/>
              <w:spacing w:line="240" w:lineRule="auto"/>
              <w:jc w:val="center"/>
              <w:rPr>
                <w:rFonts w:hint="eastAsia" w:ascii="宋体" w:hAnsi="宋体"/>
                <w:b/>
                <w:sz w:val="24"/>
              </w:rPr>
            </w:pPr>
            <w:r>
              <w:rPr>
                <w:rFonts w:hint="eastAsia" w:ascii="宋体" w:hAnsi="宋体"/>
                <w:b/>
                <w:sz w:val="24"/>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noWrap w:val="0"/>
            <w:vAlign w:val="center"/>
          </w:tcPr>
          <w:p>
            <w:pPr>
              <w:adjustRightInd w:val="0"/>
              <w:snapToGrid w:val="0"/>
              <w:spacing w:line="240" w:lineRule="auto"/>
              <w:jc w:val="center"/>
              <w:rPr>
                <w:rFonts w:hint="eastAsia" w:ascii="宋体" w:hAnsi="宋体" w:eastAsia="宋体"/>
                <w:sz w:val="24"/>
                <w:lang w:val="en-US" w:eastAsia="zh-CN"/>
              </w:rPr>
            </w:pPr>
            <w:r>
              <w:rPr>
                <w:rFonts w:hint="eastAsia"/>
                <w:color w:val="auto"/>
                <w:sz w:val="21"/>
                <w:szCs w:val="21"/>
                <w:lang w:val="en-US"/>
              </w:rPr>
              <w:t>散装</w:t>
            </w:r>
            <w:r>
              <w:rPr>
                <w:rFonts w:hint="eastAsia"/>
                <w:color w:val="auto"/>
                <w:sz w:val="21"/>
                <w:szCs w:val="21"/>
                <w:lang w:val="en-US" w:eastAsia="zh-CN"/>
              </w:rPr>
              <w:t>水泥</w:t>
            </w:r>
          </w:p>
        </w:tc>
        <w:tc>
          <w:tcPr>
            <w:tcW w:w="654" w:type="pct"/>
            <w:noWrap w:val="0"/>
            <w:vAlign w:val="center"/>
          </w:tcPr>
          <w:p>
            <w:pPr>
              <w:adjustRightInd w:val="0"/>
              <w:snapToGrid w:val="0"/>
              <w:spacing w:line="240" w:lineRule="auto"/>
              <w:jc w:val="center"/>
              <w:rPr>
                <w:rFonts w:hint="eastAsia" w:ascii="宋体" w:hAnsi="宋体"/>
                <w:sz w:val="24"/>
              </w:rPr>
            </w:pPr>
            <w:r>
              <w:rPr>
                <w:rFonts w:hint="eastAsia"/>
                <w:color w:val="auto"/>
                <w:sz w:val="21"/>
                <w:szCs w:val="21"/>
                <w:lang w:val="en-US"/>
              </w:rPr>
              <w:t>P.0 42.5</w:t>
            </w:r>
          </w:p>
        </w:tc>
        <w:tc>
          <w:tcPr>
            <w:tcW w:w="607" w:type="pct"/>
            <w:noWrap w:val="0"/>
            <w:vAlign w:val="center"/>
          </w:tcPr>
          <w:p>
            <w:pPr>
              <w:adjustRightInd w:val="0"/>
              <w:snapToGrid w:val="0"/>
              <w:spacing w:line="240" w:lineRule="auto"/>
              <w:jc w:val="center"/>
              <w:rPr>
                <w:rFonts w:hint="eastAsia" w:ascii="宋体" w:hAnsi="宋体"/>
                <w:sz w:val="24"/>
              </w:rPr>
            </w:pPr>
            <w:r>
              <w:rPr>
                <w:rFonts w:hint="eastAsia" w:ascii="宋体" w:hAnsi="宋体" w:eastAsia="宋体" w:cs="Times New Roman"/>
                <w:sz w:val="24"/>
                <w:szCs w:val="24"/>
                <w:lang w:val="en-US" w:eastAsia="zh-CN"/>
              </w:rPr>
              <w:t>符合设计及国家、行业、地方性规范（标准）要求</w:t>
            </w:r>
          </w:p>
        </w:tc>
        <w:tc>
          <w:tcPr>
            <w:tcW w:w="317" w:type="pct"/>
            <w:noWrap w:val="0"/>
            <w:vAlign w:val="center"/>
          </w:tcPr>
          <w:p>
            <w:pPr>
              <w:adjustRightInd w:val="0"/>
              <w:snapToGrid w:val="0"/>
              <w:spacing w:line="240" w:lineRule="auto"/>
              <w:jc w:val="center"/>
              <w:rPr>
                <w:rFonts w:hint="eastAsia" w:ascii="宋体" w:hAnsi="宋体"/>
                <w:sz w:val="24"/>
              </w:rPr>
            </w:pPr>
            <w:r>
              <w:rPr>
                <w:rFonts w:hint="eastAsia"/>
                <w:color w:val="auto"/>
                <w:sz w:val="21"/>
                <w:szCs w:val="21"/>
                <w:lang w:val="en-US" w:eastAsia="en-US" w:bidi="en-US"/>
              </w:rPr>
              <w:t>T</w:t>
            </w:r>
          </w:p>
        </w:tc>
        <w:tc>
          <w:tcPr>
            <w:tcW w:w="541" w:type="pct"/>
            <w:noWrap w:val="0"/>
            <w:vAlign w:val="center"/>
          </w:tcPr>
          <w:p>
            <w:pPr>
              <w:pStyle w:val="57"/>
              <w:spacing w:line="240" w:lineRule="auto"/>
              <w:ind w:firstLine="0" w:firstLineChars="0"/>
              <w:jc w:val="center"/>
              <w:rPr>
                <w:rFonts w:hint="default" w:ascii="宋体" w:hAnsi="宋体" w:eastAsia="宋体"/>
                <w:sz w:val="24"/>
                <w:lang w:val="en-US" w:eastAsia="zh-CN"/>
              </w:rPr>
            </w:pPr>
            <w:r>
              <w:rPr>
                <w:rFonts w:hint="eastAsia"/>
                <w:color w:val="auto"/>
                <w:sz w:val="21"/>
                <w:szCs w:val="21"/>
                <w:lang w:val="en-US" w:eastAsia="zh-CN"/>
              </w:rPr>
              <w:t>10000</w:t>
            </w:r>
          </w:p>
        </w:tc>
        <w:tc>
          <w:tcPr>
            <w:tcW w:w="713" w:type="pct"/>
            <w:noWrap w:val="0"/>
            <w:vAlign w:val="center"/>
          </w:tcPr>
          <w:p>
            <w:pPr>
              <w:adjustRightInd w:val="0"/>
              <w:snapToGrid w:val="0"/>
              <w:spacing w:line="240" w:lineRule="auto"/>
              <w:jc w:val="center"/>
              <w:rPr>
                <w:rFonts w:hint="eastAsia" w:ascii="宋体" w:hAnsi="宋体"/>
                <w:sz w:val="24"/>
              </w:rPr>
            </w:pPr>
          </w:p>
        </w:tc>
        <w:tc>
          <w:tcPr>
            <w:tcW w:w="786" w:type="pct"/>
            <w:noWrap w:val="0"/>
            <w:vAlign w:val="center"/>
          </w:tcPr>
          <w:p>
            <w:pPr>
              <w:adjustRightInd w:val="0"/>
              <w:snapToGrid w:val="0"/>
              <w:spacing w:line="240" w:lineRule="auto"/>
              <w:jc w:val="center"/>
              <w:rPr>
                <w:rFonts w:hint="eastAsia" w:ascii="宋体" w:hAnsi="宋体"/>
                <w:sz w:val="24"/>
              </w:rPr>
            </w:pPr>
          </w:p>
        </w:tc>
        <w:tc>
          <w:tcPr>
            <w:tcW w:w="715" w:type="pct"/>
            <w:noWrap w:val="0"/>
            <w:vAlign w:val="center"/>
          </w:tcPr>
          <w:p>
            <w:pPr>
              <w:adjustRightInd w:val="0"/>
              <w:snapToGrid w:val="0"/>
              <w:spacing w:line="24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2" w:type="pct"/>
            <w:gridSpan w:val="4"/>
            <w:noWrap w:val="0"/>
            <w:vAlign w:val="center"/>
          </w:tcPr>
          <w:p>
            <w:pPr>
              <w:adjustRightInd w:val="0"/>
              <w:snapToGrid w:val="0"/>
              <w:spacing w:line="240" w:lineRule="auto"/>
              <w:jc w:val="center"/>
              <w:rPr>
                <w:rFonts w:hint="eastAsia" w:ascii="宋体" w:hAnsi="宋体"/>
                <w:sz w:val="24"/>
              </w:rPr>
            </w:pPr>
            <w:r>
              <w:rPr>
                <w:rFonts w:hint="eastAsia" w:ascii="宋体" w:hAnsi="宋体"/>
                <w:sz w:val="24"/>
                <w:lang w:val="en-US" w:eastAsia="zh-CN"/>
              </w:rPr>
              <w:t>合计</w:t>
            </w:r>
          </w:p>
        </w:tc>
        <w:tc>
          <w:tcPr>
            <w:tcW w:w="541" w:type="pct"/>
            <w:noWrap w:val="0"/>
            <w:vAlign w:val="center"/>
          </w:tcPr>
          <w:p>
            <w:pPr>
              <w:adjustRightInd w:val="0"/>
              <w:snapToGrid w:val="0"/>
              <w:spacing w:line="240" w:lineRule="auto"/>
              <w:jc w:val="center"/>
              <w:rPr>
                <w:rFonts w:hint="default" w:ascii="宋体" w:hAnsi="宋体" w:eastAsia="宋体"/>
                <w:sz w:val="24"/>
                <w:lang w:val="en-US" w:eastAsia="zh-CN"/>
              </w:rPr>
            </w:pPr>
            <w:r>
              <w:rPr>
                <w:rFonts w:hint="eastAsia" w:ascii="宋体" w:hAnsi="宋体"/>
                <w:sz w:val="24"/>
                <w:lang w:val="en-US" w:eastAsia="zh-CN"/>
              </w:rPr>
              <w:t>10000</w:t>
            </w:r>
          </w:p>
        </w:tc>
        <w:tc>
          <w:tcPr>
            <w:tcW w:w="1499" w:type="pct"/>
            <w:gridSpan w:val="2"/>
            <w:noWrap w:val="0"/>
            <w:vAlign w:val="center"/>
          </w:tcPr>
          <w:p>
            <w:pPr>
              <w:adjustRightInd w:val="0"/>
              <w:snapToGrid w:val="0"/>
              <w:spacing w:line="240" w:lineRule="auto"/>
              <w:jc w:val="center"/>
              <w:rPr>
                <w:rFonts w:hint="eastAsia" w:ascii="宋体" w:hAnsi="宋体"/>
                <w:sz w:val="24"/>
              </w:rPr>
            </w:pPr>
          </w:p>
        </w:tc>
        <w:tc>
          <w:tcPr>
            <w:tcW w:w="715" w:type="pct"/>
            <w:noWrap w:val="0"/>
            <w:vAlign w:val="center"/>
          </w:tcPr>
          <w:p>
            <w:pPr>
              <w:adjustRightInd w:val="0"/>
              <w:snapToGrid w:val="0"/>
              <w:spacing w:line="240" w:lineRule="auto"/>
              <w:jc w:val="center"/>
              <w:rPr>
                <w:rFonts w:hint="eastAsia" w:ascii="宋体" w:hAnsi="宋体"/>
                <w:sz w:val="24"/>
              </w:rPr>
            </w:pPr>
          </w:p>
        </w:tc>
      </w:tr>
    </w:tbl>
    <w:p>
      <w:pPr>
        <w:adjustRightInd w:val="0"/>
        <w:snapToGrid w:val="0"/>
        <w:spacing w:line="360" w:lineRule="auto"/>
        <w:rPr>
          <w:rFonts w:hint="eastAsia" w:ascii="宋体" w:hAnsi="宋体"/>
          <w:color w:val="auto"/>
          <w:sz w:val="24"/>
        </w:rPr>
      </w:pPr>
      <w:r>
        <w:rPr>
          <w:rFonts w:hint="eastAsia" w:ascii="宋体" w:hAnsi="宋体"/>
          <w:color w:val="auto"/>
          <w:sz w:val="24"/>
        </w:rPr>
        <w:t>注：1、投标报价含13%增值税专用发票；</w:t>
      </w:r>
    </w:p>
    <w:p>
      <w:pPr>
        <w:adjustRightInd w:val="0"/>
        <w:snapToGrid w:val="0"/>
        <w:spacing w:line="360" w:lineRule="auto"/>
        <w:rPr>
          <w:rFonts w:hint="eastAsia" w:ascii="宋体" w:hAnsi="宋体"/>
          <w:color w:val="auto"/>
          <w:sz w:val="24"/>
        </w:rPr>
      </w:pPr>
      <w:r>
        <w:rPr>
          <w:rFonts w:hint="eastAsia" w:ascii="宋体" w:hAnsi="宋体"/>
          <w:color w:val="auto"/>
          <w:sz w:val="24"/>
        </w:rPr>
        <w:t>2、交货地点：施工现场（招标人指定地点）；</w:t>
      </w:r>
    </w:p>
    <w:p>
      <w:pPr>
        <w:adjustRightInd w:val="0"/>
        <w:snapToGrid w:val="0"/>
        <w:spacing w:line="360" w:lineRule="auto"/>
        <w:rPr>
          <w:rFonts w:hint="eastAsia" w:ascii="宋体" w:hAnsi="宋体"/>
          <w:sz w:val="24"/>
          <w:lang w:val="en-US" w:eastAsia="zh-CN"/>
        </w:rPr>
      </w:pPr>
      <w:r>
        <w:rPr>
          <w:rFonts w:hint="eastAsia" w:ascii="宋体" w:hAnsi="宋体"/>
          <w:color w:val="auto"/>
          <w:sz w:val="24"/>
          <w:lang w:val="en-US" w:eastAsia="zh-CN"/>
        </w:rPr>
        <w:t>3、</w:t>
      </w:r>
      <w:r>
        <w:rPr>
          <w:rFonts w:hint="eastAsia" w:ascii="宋体" w:hAnsi="宋体"/>
          <w:sz w:val="24"/>
          <w:lang w:val="en-US" w:eastAsia="zh-CN"/>
        </w:rPr>
        <w:t>水泥单价按已到货当日杭州市造价信息网含税信息价下浮</w:t>
      </w:r>
      <w:r>
        <w:rPr>
          <w:rFonts w:hint="eastAsia" w:ascii="宋体" w:hAnsi="宋体"/>
          <w:sz w:val="24"/>
          <w:u w:val="single"/>
          <w:lang w:val="en-US" w:eastAsia="zh-CN"/>
        </w:rPr>
        <w:t xml:space="preserve">    </w:t>
      </w:r>
      <w:r>
        <w:rPr>
          <w:rFonts w:hint="default" w:ascii="Times New Roman" w:hAnsi="Times New Roman" w:cs="Times New Roman"/>
          <w:sz w:val="24"/>
          <w:lang w:val="en-US" w:eastAsia="zh-CN"/>
        </w:rPr>
        <w:t>%</w:t>
      </w:r>
      <w:r>
        <w:rPr>
          <w:rFonts w:hint="eastAsia" w:ascii="宋体" w:hAnsi="宋体"/>
          <w:sz w:val="24"/>
          <w:lang w:val="en-US" w:eastAsia="zh-CN"/>
        </w:rPr>
        <w:t>为准，此次投标报价以</w:t>
      </w:r>
      <w:r>
        <w:rPr>
          <w:rFonts w:hint="eastAsia"/>
          <w:color w:val="auto"/>
          <w:sz w:val="24"/>
          <w:szCs w:val="24"/>
          <w:highlight w:val="none"/>
          <w:lang w:val="en-US" w:eastAsia="zh-CN"/>
        </w:rPr>
        <w:t>2023年7</w:t>
      </w:r>
      <w:r>
        <w:rPr>
          <w:rFonts w:hint="eastAsia"/>
          <w:color w:val="auto"/>
          <w:sz w:val="24"/>
          <w:szCs w:val="24"/>
          <w:highlight w:val="none"/>
          <w:lang w:val="en-US"/>
        </w:rPr>
        <w:t>月杭州市</w:t>
      </w:r>
      <w:r>
        <w:rPr>
          <w:rFonts w:hint="eastAsia"/>
          <w:color w:val="auto"/>
          <w:sz w:val="24"/>
          <w:szCs w:val="24"/>
          <w:highlight w:val="none"/>
          <w:lang w:val="en-US" w:eastAsia="zh-CN"/>
        </w:rPr>
        <w:t>造价信息网</w:t>
      </w:r>
      <w:r>
        <w:rPr>
          <w:rFonts w:hint="eastAsia"/>
          <w:color w:val="auto"/>
          <w:sz w:val="24"/>
          <w:szCs w:val="24"/>
          <w:highlight w:val="none"/>
          <w:lang w:val="en-US"/>
        </w:rPr>
        <w:t>含税信息价下浮</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w:t>
      </w:r>
      <w:r>
        <w:rPr>
          <w:rFonts w:hint="eastAsia" w:ascii="宋体" w:hAnsi="宋体"/>
          <w:color w:val="auto"/>
          <w:sz w:val="24"/>
          <w:lang w:val="en-US" w:eastAsia="zh-CN"/>
        </w:rPr>
        <w:t>和招标人采购的数量计算总价（暂定总价）。</w:t>
      </w:r>
    </w:p>
    <w:p>
      <w:pPr>
        <w:adjustRightInd w:val="0"/>
        <w:snapToGrid w:val="0"/>
        <w:spacing w:line="360" w:lineRule="auto"/>
        <w:ind w:right="26" w:firstLine="3840" w:firstLineChars="1600"/>
        <w:rPr>
          <w:rFonts w:hint="eastAsia" w:ascii="宋体" w:hAnsi="宋体"/>
          <w:sz w:val="24"/>
        </w:rPr>
      </w:pPr>
    </w:p>
    <w:p>
      <w:pPr>
        <w:pStyle w:val="2"/>
        <w:rPr>
          <w:rFonts w:hint="eastAsia"/>
        </w:rPr>
      </w:pP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 xml:space="preserve">投标人 </w:t>
      </w:r>
      <w:r>
        <w:rPr>
          <w:rFonts w:hint="eastAsia" w:ascii="宋体" w:hAnsi="宋体"/>
          <w:sz w:val="24"/>
          <w:lang w:eastAsia="zh-CN"/>
        </w:rPr>
        <w:t>（</w:t>
      </w:r>
      <w:r>
        <w:rPr>
          <w:rFonts w:hint="eastAsia" w:ascii="宋体" w:hAnsi="宋体"/>
          <w:sz w:val="24"/>
        </w:rPr>
        <w:t>盖章) ：</w:t>
      </w: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w:t>
      </w:r>
      <w:r>
        <w:rPr>
          <w:rFonts w:hint="eastAsia" w:ascii="宋体" w:hAnsi="宋体"/>
          <w:sz w:val="24"/>
          <w:lang w:eastAsia="zh-CN"/>
        </w:rPr>
        <w:t>（</w:t>
      </w:r>
      <w:r>
        <w:rPr>
          <w:rFonts w:hint="eastAsia" w:ascii="宋体" w:hAnsi="宋体"/>
          <w:sz w:val="24"/>
        </w:rPr>
        <w:t>或委托代理人)签字：</w:t>
      </w: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pPr>
        <w:adjustRightInd w:val="0"/>
        <w:snapToGrid w:val="0"/>
        <w:spacing w:line="360" w:lineRule="auto"/>
        <w:ind w:right="26"/>
        <w:rPr>
          <w:rFonts w:hint="eastAsia" w:ascii="宋体" w:hAnsi="宋体"/>
          <w:b/>
          <w:sz w:val="24"/>
        </w:rPr>
      </w:pPr>
    </w:p>
    <w:p>
      <w:pPr>
        <w:adjustRightInd w:val="0"/>
        <w:snapToGrid w:val="0"/>
        <w:spacing w:line="360" w:lineRule="auto"/>
        <w:ind w:right="26"/>
        <w:rPr>
          <w:rFonts w:hint="eastAsia" w:ascii="宋体" w:hAnsi="宋体"/>
          <w:b/>
          <w:sz w:val="24"/>
        </w:rPr>
      </w:pPr>
    </w:p>
    <w:p>
      <w:pPr>
        <w:pStyle w:val="2"/>
        <w:rPr>
          <w:rFonts w:hint="eastAsia"/>
        </w:rPr>
      </w:pPr>
    </w:p>
    <w:p>
      <w:pPr>
        <w:adjustRightInd w:val="0"/>
        <w:snapToGrid w:val="0"/>
        <w:spacing w:line="360" w:lineRule="auto"/>
        <w:ind w:right="26"/>
        <w:rPr>
          <w:rFonts w:hint="eastAsia" w:ascii="宋体" w:hAnsi="宋体"/>
          <w:b/>
          <w:sz w:val="24"/>
        </w:rPr>
      </w:pPr>
      <w:r>
        <w:rPr>
          <w:rFonts w:hint="eastAsia" w:ascii="宋体" w:hAnsi="宋体"/>
          <w:b/>
          <w:sz w:val="24"/>
        </w:rPr>
        <w:t>联系人：</w:t>
      </w:r>
      <w:r>
        <w:rPr>
          <w:rFonts w:hint="eastAsia" w:ascii="宋体" w:hAnsi="宋体"/>
          <w:b/>
          <w:sz w:val="24"/>
          <w:lang w:val="en-US" w:eastAsia="zh-CN"/>
        </w:rPr>
        <w:t xml:space="preserve">             </w:t>
      </w:r>
      <w:r>
        <w:rPr>
          <w:rFonts w:hint="eastAsia" w:ascii="宋体" w:hAnsi="宋体"/>
          <w:b/>
          <w:sz w:val="24"/>
        </w:rPr>
        <w:t>联系电话：</w:t>
      </w:r>
    </w:p>
    <w:p>
      <w:pPr>
        <w:spacing w:line="360" w:lineRule="auto"/>
        <w:jc w:val="center"/>
        <w:outlineLvl w:val="0"/>
        <w:rPr>
          <w:rFonts w:hint="eastAsia" w:ascii="宋体" w:hAnsi="宋体" w:cs="Arial"/>
          <w:b/>
          <w:kern w:val="0"/>
          <w:sz w:val="32"/>
          <w:szCs w:val="32"/>
        </w:rPr>
        <w:sectPr>
          <w:headerReference r:id="rId3" w:type="default"/>
          <w:footerReference r:id="rId4" w:type="default"/>
          <w:pgSz w:w="11906" w:h="16838"/>
          <w:pgMar w:top="1134" w:right="1247" w:bottom="1134" w:left="1531"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Arial"/>
          <w:b/>
          <w:kern w:val="0"/>
          <w:sz w:val="32"/>
          <w:szCs w:val="32"/>
        </w:rPr>
      </w:pPr>
      <w:r>
        <w:rPr>
          <w:rFonts w:hint="eastAsia" w:ascii="宋体" w:hAnsi="宋体" w:cs="Arial"/>
          <w:b/>
          <w:kern w:val="0"/>
          <w:sz w:val="32"/>
          <w:szCs w:val="32"/>
        </w:rPr>
        <w:t>法定代表人授权书</w:t>
      </w:r>
      <w:bookmarkEnd w:id="47"/>
      <w:bookmarkEnd w:id="48"/>
    </w:p>
    <w:p>
      <w:pPr>
        <w:spacing w:before="240" w:beforeLines="100" w:after="240" w:afterLines="100" w:line="360" w:lineRule="auto"/>
        <w:ind w:right="-246" w:rightChars="-117"/>
        <w:rPr>
          <w:rFonts w:ascii="宋体" w:hAnsi="宋体"/>
          <w:spacing w:val="30"/>
          <w:sz w:val="24"/>
        </w:rPr>
      </w:pPr>
      <w:r>
        <w:rPr>
          <w:rFonts w:hint="eastAsia" w:ascii="宋体" w:hAnsi="宋体"/>
          <w:spacing w:val="30"/>
          <w:sz w:val="24"/>
        </w:rPr>
        <w:t>致：浙江省隧道工程集团有限公司：</w:t>
      </w:r>
    </w:p>
    <w:p>
      <w:pPr>
        <w:spacing w:line="360" w:lineRule="auto"/>
        <w:ind w:firstLine="480" w:firstLineChars="200"/>
        <w:rPr>
          <w:rFonts w:ascii="宋体" w:hAnsi="宋体"/>
          <w:sz w:val="24"/>
        </w:rPr>
      </w:pPr>
      <w:r>
        <w:rPr>
          <w:rFonts w:hint="eastAsia" w:ascii="宋体" w:hAnsi="宋体"/>
          <w:sz w:val="24"/>
        </w:rPr>
        <w:t>我以（单位名称）法定代表人身份授权________________________（姓名、身份证号）为我单位的全权代表，全权委托他签署“浙江省隧道工程集团有限公司扩大杭嘉湖南排后续西部通道（南北线）工程南段设计采购施工（EPC）总承包</w:t>
      </w:r>
      <w:r>
        <w:rPr>
          <w:rFonts w:hint="eastAsia" w:ascii="宋体" w:hAnsi="宋体"/>
          <w:sz w:val="24"/>
          <w:lang w:val="en-US" w:eastAsia="zh-CN"/>
        </w:rPr>
        <w:t>水泥</w:t>
      </w:r>
      <w:r>
        <w:rPr>
          <w:rFonts w:hint="eastAsia"/>
          <w:sz w:val="24"/>
        </w:rPr>
        <w:t>采购</w:t>
      </w:r>
      <w:r>
        <w:rPr>
          <w:rFonts w:hint="eastAsia" w:ascii="宋体" w:hAnsi="宋体"/>
          <w:sz w:val="24"/>
        </w:rPr>
        <w:t>”项目的投标书及其他书面文件，负责参加开标、询标、商签合同及处理与此有关的其他事务，我单位均予承认。</w:t>
      </w:r>
    </w:p>
    <w:p>
      <w:pPr>
        <w:spacing w:line="360" w:lineRule="auto"/>
        <w:rPr>
          <w:rFonts w:ascii="宋体" w:hAnsi="宋体"/>
          <w:sz w:val="24"/>
        </w:rPr>
      </w:pPr>
    </w:p>
    <w:p>
      <w:pPr>
        <w:spacing w:line="360" w:lineRule="auto"/>
        <w:ind w:firstLine="480" w:firstLineChars="200"/>
        <w:rPr>
          <w:rFonts w:ascii="宋体" w:hAnsi="宋体"/>
          <w:sz w:val="24"/>
        </w:rPr>
      </w:pPr>
    </w:p>
    <w:p>
      <w:pPr>
        <w:spacing w:line="360" w:lineRule="auto"/>
        <w:ind w:right="-246" w:rightChars="-117" w:firstLine="2760" w:firstLineChars="1150"/>
        <w:rPr>
          <w:rFonts w:ascii="宋体" w:hAnsi="宋体"/>
          <w:sz w:val="24"/>
          <w:u w:val="single"/>
        </w:rPr>
      </w:pPr>
      <w:r>
        <w:rPr>
          <w:rFonts w:hint="eastAsia" w:ascii="宋体" w:hAnsi="宋体"/>
          <w:sz w:val="24"/>
        </w:rPr>
        <w:t>投标人(盖章)：</w:t>
      </w:r>
    </w:p>
    <w:p>
      <w:pPr>
        <w:spacing w:line="360" w:lineRule="auto"/>
        <w:ind w:right="-246" w:rightChars="-117" w:firstLine="2760" w:firstLineChars="1150"/>
        <w:rPr>
          <w:rFonts w:ascii="宋体" w:hAnsi="宋体"/>
          <w:sz w:val="24"/>
        </w:rPr>
      </w:pPr>
      <w:r>
        <w:rPr>
          <w:rFonts w:hint="eastAsia" w:ascii="宋体" w:hAnsi="宋体"/>
          <w:sz w:val="24"/>
        </w:rPr>
        <w:t>授权人（签字）：</w:t>
      </w:r>
    </w:p>
    <w:p>
      <w:pPr>
        <w:spacing w:line="360" w:lineRule="auto"/>
        <w:ind w:right="-246" w:rightChars="-117" w:firstLine="2760" w:firstLineChars="1150"/>
        <w:rPr>
          <w:rFonts w:ascii="宋体" w:hAnsi="宋体"/>
          <w:sz w:val="24"/>
          <w:u w:val="single"/>
        </w:rPr>
      </w:pPr>
      <w:r>
        <w:rPr>
          <w:rFonts w:hint="eastAsia" w:ascii="宋体" w:hAnsi="宋体"/>
          <w:sz w:val="24"/>
        </w:rPr>
        <w:t>被授权的代理人（签字）：</w:t>
      </w:r>
    </w:p>
    <w:p>
      <w:pPr>
        <w:spacing w:line="360" w:lineRule="auto"/>
        <w:ind w:right="-246" w:rightChars="-117" w:firstLine="2760" w:firstLineChars="1150"/>
        <w:rPr>
          <w:rFonts w:ascii="宋体" w:hAnsi="宋体"/>
          <w:sz w:val="24"/>
        </w:rPr>
      </w:pPr>
      <w:r>
        <w:rPr>
          <w:rFonts w:hint="eastAsia" w:ascii="宋体" w:hAnsi="宋体"/>
          <w:sz w:val="24"/>
        </w:rPr>
        <w:t>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360" w:lineRule="auto"/>
        <w:ind w:firstLine="4524" w:firstLineChars="1885"/>
        <w:rPr>
          <w:rFonts w:ascii="宋体" w:hAnsi="宋体"/>
          <w:sz w:val="24"/>
        </w:rPr>
      </w:pPr>
    </w:p>
    <w:p>
      <w:pPr>
        <w:spacing w:line="360" w:lineRule="auto"/>
        <w:outlineLvl w:val="0"/>
        <w:rPr>
          <w:rFonts w:ascii="宋体" w:hAnsi="宋体" w:cs="Arial"/>
          <w:b/>
          <w:kern w:val="0"/>
          <w:sz w:val="32"/>
          <w:szCs w:val="32"/>
        </w:rPr>
      </w:pPr>
      <w:r>
        <w:rPr>
          <w:rFonts w:ascii="宋体" w:hAnsi="宋体"/>
          <w:sz w:val="28"/>
          <w:szCs w:val="28"/>
        </w:rPr>
        <w:br w:type="page"/>
      </w:r>
    </w:p>
    <w:p>
      <w:pPr>
        <w:spacing w:line="360" w:lineRule="auto"/>
        <w:jc w:val="center"/>
        <w:outlineLvl w:val="0"/>
        <w:rPr>
          <w:rFonts w:hint="eastAsia" w:ascii="宋体" w:hAnsi="宋体" w:cs="Arial"/>
          <w:b/>
          <w:kern w:val="0"/>
          <w:sz w:val="32"/>
          <w:szCs w:val="32"/>
        </w:rPr>
      </w:pPr>
      <w:bookmarkStart w:id="49" w:name="_Toc163643545"/>
      <w:bookmarkStart w:id="50" w:name="_Toc243928864"/>
      <w:r>
        <w:rPr>
          <w:rFonts w:hint="eastAsia" w:ascii="宋体" w:hAnsi="宋体" w:cs="Arial"/>
          <w:b/>
          <w:kern w:val="0"/>
          <w:sz w:val="32"/>
          <w:szCs w:val="32"/>
        </w:rPr>
        <w:t>单位基本情况表</w:t>
      </w:r>
      <w:bookmarkEnd w:id="49"/>
      <w:bookmarkEnd w:id="50"/>
    </w:p>
    <w:p>
      <w:pPr>
        <w:pStyle w:val="2"/>
      </w:pPr>
    </w:p>
    <w:tbl>
      <w:tblPr>
        <w:tblStyle w:val="21"/>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68"/>
        <w:gridCol w:w="1088"/>
        <w:gridCol w:w="1802"/>
        <w:gridCol w:w="144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单位名称</w:t>
            </w:r>
          </w:p>
        </w:tc>
        <w:tc>
          <w:tcPr>
            <w:tcW w:w="1968" w:type="dxa"/>
            <w:tcMar>
              <w:left w:w="28" w:type="dxa"/>
              <w:right w:w="28" w:type="dxa"/>
            </w:tcMar>
            <w:vAlign w:val="center"/>
          </w:tcPr>
          <w:p>
            <w:pPr>
              <w:adjustRightInd w:val="0"/>
              <w:snapToGrid w:val="0"/>
              <w:jc w:val="center"/>
              <w:rPr>
                <w:rFonts w:ascii="宋体" w:hAnsi="宋体"/>
                <w:szCs w:val="21"/>
              </w:rPr>
            </w:pPr>
          </w:p>
        </w:tc>
        <w:tc>
          <w:tcPr>
            <w:tcW w:w="1088"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单位地址</w:t>
            </w:r>
          </w:p>
        </w:tc>
        <w:tc>
          <w:tcPr>
            <w:tcW w:w="1802" w:type="dxa"/>
            <w:tcBorders>
              <w:top w:val="single" w:color="auto" w:sz="4" w:space="0"/>
            </w:tcBorders>
            <w:tcMar>
              <w:left w:w="28" w:type="dxa"/>
              <w:right w:w="28" w:type="dxa"/>
            </w:tcMar>
            <w:vAlign w:val="center"/>
          </w:tcPr>
          <w:p>
            <w:pPr>
              <w:adjustRightInd w:val="0"/>
              <w:snapToGrid w:val="0"/>
              <w:jc w:val="center"/>
              <w:rPr>
                <w:rFonts w:ascii="宋体" w:hAnsi="宋体"/>
                <w:szCs w:val="21"/>
              </w:rPr>
            </w:pPr>
          </w:p>
        </w:tc>
        <w:tc>
          <w:tcPr>
            <w:tcW w:w="1440"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成立时间</w:t>
            </w:r>
          </w:p>
        </w:tc>
        <w:tc>
          <w:tcPr>
            <w:tcW w:w="1450" w:type="dxa"/>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注册资本</w:t>
            </w:r>
          </w:p>
        </w:tc>
        <w:tc>
          <w:tcPr>
            <w:tcW w:w="1968" w:type="dxa"/>
            <w:tcMar>
              <w:left w:w="28" w:type="dxa"/>
              <w:right w:w="28" w:type="dxa"/>
            </w:tcMar>
            <w:vAlign w:val="center"/>
          </w:tcPr>
          <w:p>
            <w:pPr>
              <w:adjustRightInd w:val="0"/>
              <w:snapToGrid w:val="0"/>
              <w:jc w:val="center"/>
              <w:rPr>
                <w:rFonts w:ascii="宋体" w:hAnsi="宋体"/>
                <w:szCs w:val="21"/>
              </w:rPr>
            </w:pPr>
          </w:p>
        </w:tc>
        <w:tc>
          <w:tcPr>
            <w:tcW w:w="1088"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固定资产</w:t>
            </w:r>
          </w:p>
        </w:tc>
        <w:tc>
          <w:tcPr>
            <w:tcW w:w="1802" w:type="dxa"/>
            <w:tcBorders>
              <w:top w:val="single" w:color="auto" w:sz="4" w:space="0"/>
            </w:tcBorders>
            <w:tcMar>
              <w:left w:w="28" w:type="dxa"/>
              <w:right w:w="28" w:type="dxa"/>
            </w:tcMar>
            <w:vAlign w:val="center"/>
          </w:tcPr>
          <w:p>
            <w:pPr>
              <w:adjustRightInd w:val="0"/>
              <w:snapToGrid w:val="0"/>
              <w:jc w:val="center"/>
              <w:rPr>
                <w:rFonts w:ascii="宋体" w:hAnsi="宋体"/>
                <w:szCs w:val="21"/>
              </w:rPr>
            </w:pPr>
          </w:p>
        </w:tc>
        <w:tc>
          <w:tcPr>
            <w:tcW w:w="1440"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办公用房规模</w:t>
            </w:r>
            <w:r>
              <w:rPr>
                <w:rFonts w:hint="eastAsia" w:ascii="宋体" w:hAnsi="宋体"/>
                <w:sz w:val="18"/>
                <w:szCs w:val="18"/>
              </w:rPr>
              <w:t>(注明自有、租用)</w:t>
            </w:r>
          </w:p>
        </w:tc>
        <w:tc>
          <w:tcPr>
            <w:tcW w:w="1450" w:type="dxa"/>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40" w:type="dxa"/>
            <w:gridSpan w:val="2"/>
            <w:tcBorders>
              <w:right w:val="single" w:color="auto" w:sz="4" w:space="0"/>
            </w:tcBorders>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单位基本情况</w:t>
            </w:r>
          </w:p>
        </w:tc>
        <w:tc>
          <w:tcPr>
            <w:tcW w:w="5780" w:type="dxa"/>
            <w:gridSpan w:val="4"/>
            <w:tcBorders>
              <w:left w:val="single" w:color="auto" w:sz="4" w:space="0"/>
            </w:tcBorders>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restart"/>
            <w:tcBorders>
              <w:right w:val="single" w:color="auto" w:sz="4" w:space="0"/>
            </w:tcBorders>
            <w:tcMar>
              <w:left w:w="28" w:type="dxa"/>
              <w:right w:w="28" w:type="dxa"/>
            </w:tcMar>
            <w:vAlign w:val="center"/>
          </w:tcPr>
          <w:p>
            <w:pPr>
              <w:adjustRightInd w:val="0"/>
              <w:snapToGrid w:val="0"/>
              <w:jc w:val="center"/>
              <w:rPr>
                <w:rFonts w:ascii="宋体" w:hAnsi="宋体"/>
                <w:szCs w:val="21"/>
              </w:rPr>
            </w:pPr>
            <w:r>
              <w:rPr>
                <w:rFonts w:hint="eastAsia" w:ascii="宋体" w:hAnsi="宋体"/>
                <w:b/>
                <w:sz w:val="24"/>
              </w:rPr>
              <w:t>20</w:t>
            </w:r>
            <w:r>
              <w:rPr>
                <w:rFonts w:hint="eastAsia" w:ascii="宋体" w:hAnsi="宋体"/>
                <w:b/>
                <w:sz w:val="24"/>
                <w:lang w:val="en-US" w:eastAsia="zh-CN"/>
              </w:rPr>
              <w:t>20</w:t>
            </w:r>
            <w:r>
              <w:rPr>
                <w:rFonts w:hint="eastAsia" w:ascii="宋体" w:hAnsi="宋体"/>
                <w:b/>
                <w:sz w:val="24"/>
              </w:rPr>
              <w:t>-20</w:t>
            </w:r>
            <w:r>
              <w:rPr>
                <w:rFonts w:ascii="宋体" w:hAnsi="宋体"/>
                <w:b/>
                <w:sz w:val="24"/>
              </w:rPr>
              <w:t>2</w:t>
            </w:r>
            <w:r>
              <w:rPr>
                <w:rFonts w:hint="eastAsia" w:ascii="宋体" w:hAnsi="宋体"/>
                <w:b/>
                <w:sz w:val="24"/>
                <w:lang w:val="en-US" w:eastAsia="zh-CN"/>
              </w:rPr>
              <w:t>2</w:t>
            </w:r>
            <w:r>
              <w:rPr>
                <w:rFonts w:hint="eastAsia" w:ascii="宋体" w:hAnsi="宋体"/>
                <w:b/>
                <w:sz w:val="24"/>
              </w:rPr>
              <w:t>年业务收入</w:t>
            </w:r>
          </w:p>
        </w:tc>
        <w:tc>
          <w:tcPr>
            <w:tcW w:w="2890" w:type="dxa"/>
            <w:gridSpan w:val="2"/>
            <w:tcBorders>
              <w:left w:val="single" w:color="auto" w:sz="4" w:space="0"/>
            </w:tcBorders>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年度</w:t>
            </w:r>
          </w:p>
        </w:tc>
        <w:tc>
          <w:tcPr>
            <w:tcW w:w="2890" w:type="dxa"/>
            <w:gridSpan w:val="2"/>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tcMar>
              <w:left w:w="28" w:type="dxa"/>
              <w:right w:w="28" w:type="dxa"/>
            </w:tcMar>
            <w:vAlign w:val="center"/>
          </w:tcPr>
          <w:p>
            <w:pPr>
              <w:adjustRightInd w:val="0"/>
              <w:snapToGrid w:val="0"/>
              <w:jc w:val="center"/>
              <w:rPr>
                <w:rFonts w:ascii="宋体" w:hAnsi="宋体"/>
                <w:szCs w:val="21"/>
              </w:rPr>
            </w:pPr>
          </w:p>
        </w:tc>
        <w:tc>
          <w:tcPr>
            <w:tcW w:w="2890" w:type="dxa"/>
            <w:gridSpan w:val="2"/>
            <w:tcBorders>
              <w:left w:val="single" w:color="auto" w:sz="4" w:space="0"/>
            </w:tcBorders>
            <w:tcMar>
              <w:left w:w="28" w:type="dxa"/>
              <w:right w:w="28" w:type="dxa"/>
            </w:tcMar>
            <w:vAlign w:val="center"/>
          </w:tcPr>
          <w:p>
            <w:pPr>
              <w:adjustRightInd w:val="0"/>
              <w:snapToGrid w:val="0"/>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p>
        </w:tc>
        <w:tc>
          <w:tcPr>
            <w:tcW w:w="2890" w:type="dxa"/>
            <w:gridSpan w:val="2"/>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tcMar>
              <w:left w:w="28" w:type="dxa"/>
              <w:right w:w="28" w:type="dxa"/>
            </w:tcMar>
            <w:vAlign w:val="center"/>
          </w:tcPr>
          <w:p>
            <w:pPr>
              <w:adjustRightInd w:val="0"/>
              <w:snapToGrid w:val="0"/>
              <w:jc w:val="center"/>
              <w:rPr>
                <w:rFonts w:ascii="宋体" w:hAnsi="宋体"/>
                <w:szCs w:val="21"/>
              </w:rPr>
            </w:pPr>
          </w:p>
        </w:tc>
        <w:tc>
          <w:tcPr>
            <w:tcW w:w="2890" w:type="dxa"/>
            <w:gridSpan w:val="2"/>
            <w:tcBorders>
              <w:left w:val="single" w:color="auto" w:sz="4" w:space="0"/>
            </w:tcBorders>
            <w:tcMar>
              <w:left w:w="28" w:type="dxa"/>
              <w:right w:w="28" w:type="dxa"/>
            </w:tcMar>
            <w:vAlign w:val="center"/>
          </w:tcPr>
          <w:p>
            <w:pPr>
              <w:adjustRightInd w:val="0"/>
              <w:snapToGrid w:val="0"/>
              <w:jc w:val="center"/>
              <w:rPr>
                <w:rFonts w:hint="eastAsia" w:ascii="宋体" w:hAnsi="宋体" w:eastAsia="宋体"/>
                <w:szCs w:val="21"/>
                <w:lang w:eastAsia="zh-CN"/>
              </w:rPr>
            </w:pPr>
            <w:r>
              <w:rPr>
                <w:rFonts w:hint="eastAsia" w:ascii="宋体" w:hAnsi="宋体"/>
                <w:szCs w:val="21"/>
              </w:rPr>
              <w:t>202</w:t>
            </w:r>
            <w:r>
              <w:rPr>
                <w:rFonts w:hint="eastAsia" w:ascii="宋体" w:hAnsi="宋体"/>
                <w:szCs w:val="21"/>
                <w:lang w:val="en-US" w:eastAsia="zh-CN"/>
              </w:rPr>
              <w:t>1</w:t>
            </w:r>
          </w:p>
        </w:tc>
        <w:tc>
          <w:tcPr>
            <w:tcW w:w="2890" w:type="dxa"/>
            <w:gridSpan w:val="2"/>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tcMar>
              <w:left w:w="28" w:type="dxa"/>
              <w:right w:w="28" w:type="dxa"/>
            </w:tcMar>
            <w:vAlign w:val="center"/>
          </w:tcPr>
          <w:p>
            <w:pPr>
              <w:adjustRightInd w:val="0"/>
              <w:snapToGrid w:val="0"/>
              <w:jc w:val="center"/>
              <w:rPr>
                <w:rFonts w:ascii="宋体" w:hAnsi="宋体"/>
                <w:szCs w:val="21"/>
              </w:rPr>
            </w:pPr>
          </w:p>
        </w:tc>
        <w:tc>
          <w:tcPr>
            <w:tcW w:w="2890" w:type="dxa"/>
            <w:gridSpan w:val="2"/>
            <w:tcBorders>
              <w:left w:val="single" w:color="auto" w:sz="4" w:space="0"/>
            </w:tcBorders>
            <w:tcMar>
              <w:left w:w="28" w:type="dxa"/>
              <w:right w:w="28" w:type="dxa"/>
            </w:tcMar>
            <w:vAlign w:val="center"/>
          </w:tcPr>
          <w:p>
            <w:pPr>
              <w:adjustRightInd w:val="0"/>
              <w:snapToGrid w:val="0"/>
              <w:jc w:val="center"/>
              <w:rPr>
                <w:rFonts w:hint="eastAsia" w:ascii="宋体" w:hAnsi="宋体" w:eastAsia="宋体"/>
                <w:szCs w:val="21"/>
                <w:lang w:eastAsia="zh-CN"/>
              </w:rPr>
            </w:pPr>
            <w:r>
              <w:rPr>
                <w:rFonts w:hint="eastAsia" w:ascii="宋体" w:hAnsi="宋体"/>
                <w:szCs w:val="21"/>
              </w:rPr>
              <w:t>20</w:t>
            </w:r>
            <w:r>
              <w:rPr>
                <w:rFonts w:ascii="宋体" w:hAnsi="宋体"/>
                <w:szCs w:val="21"/>
              </w:rPr>
              <w:t>2</w:t>
            </w:r>
            <w:r>
              <w:rPr>
                <w:rFonts w:hint="eastAsia" w:ascii="宋体" w:hAnsi="宋体"/>
                <w:szCs w:val="21"/>
                <w:lang w:val="en-US" w:eastAsia="zh-CN"/>
              </w:rPr>
              <w:t>2</w:t>
            </w:r>
          </w:p>
        </w:tc>
        <w:tc>
          <w:tcPr>
            <w:tcW w:w="2890" w:type="dxa"/>
            <w:gridSpan w:val="2"/>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0" w:type="dxa"/>
            <w:gridSpan w:val="4"/>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合计</w:t>
            </w:r>
          </w:p>
        </w:tc>
        <w:tc>
          <w:tcPr>
            <w:tcW w:w="2890" w:type="dxa"/>
            <w:gridSpan w:val="2"/>
            <w:tcMar>
              <w:left w:w="28" w:type="dxa"/>
              <w:right w:w="28" w:type="dxa"/>
            </w:tcMar>
            <w:vAlign w:val="center"/>
          </w:tcPr>
          <w:p>
            <w:pPr>
              <w:adjustRightInd w:val="0"/>
              <w:snapToGrid w:val="0"/>
              <w:jc w:val="center"/>
              <w:rPr>
                <w:rFonts w:ascii="宋体" w:hAnsi="宋体"/>
                <w:szCs w:val="21"/>
              </w:rPr>
            </w:pPr>
          </w:p>
        </w:tc>
      </w:tr>
    </w:tbl>
    <w:p>
      <w:pPr>
        <w:snapToGrid w:val="0"/>
        <w:ind w:left="898" w:leftChars="300" w:hanging="268" w:hangingChars="128"/>
        <w:rPr>
          <w:rFonts w:ascii="宋体" w:hAnsi="宋体"/>
          <w:szCs w:val="21"/>
        </w:rPr>
      </w:pPr>
    </w:p>
    <w:p>
      <w:pPr>
        <w:snapToGrid w:val="0"/>
        <w:ind w:left="898" w:leftChars="300" w:hanging="268" w:hangingChars="128"/>
        <w:rPr>
          <w:rFonts w:ascii="宋体" w:hAnsi="宋体"/>
          <w:szCs w:val="21"/>
        </w:rPr>
      </w:pPr>
      <w:r>
        <w:rPr>
          <w:rFonts w:ascii="宋体" w:hAnsi="宋体"/>
          <w:szCs w:val="21"/>
        </w:rPr>
        <w:br w:type="page"/>
      </w:r>
    </w:p>
    <w:p>
      <w:pPr>
        <w:spacing w:line="360" w:lineRule="auto"/>
        <w:jc w:val="center"/>
        <w:outlineLvl w:val="0"/>
        <w:rPr>
          <w:rFonts w:ascii="宋体" w:hAnsi="宋体" w:cs="Arial"/>
          <w:b/>
          <w:kern w:val="0"/>
          <w:sz w:val="32"/>
          <w:szCs w:val="32"/>
        </w:rPr>
      </w:pPr>
      <w:r>
        <w:rPr>
          <w:rFonts w:hint="eastAsia" w:ascii="宋体" w:hAnsi="宋体" w:cs="Arial"/>
          <w:b/>
          <w:kern w:val="0"/>
          <w:sz w:val="32"/>
          <w:szCs w:val="32"/>
        </w:rPr>
        <w:t>投标人业绩表</w:t>
      </w:r>
    </w:p>
    <w:p>
      <w:pPr>
        <w:spacing w:line="360" w:lineRule="auto"/>
        <w:jc w:val="center"/>
        <w:outlineLvl w:val="0"/>
        <w:rPr>
          <w:rFonts w:ascii="宋体" w:hAnsi="宋体" w:cs="Arial"/>
          <w:b/>
          <w:kern w:val="0"/>
          <w:sz w:val="32"/>
          <w:szCs w:val="32"/>
        </w:rPr>
      </w:pPr>
    </w:p>
    <w:tbl>
      <w:tblPr>
        <w:tblStyle w:val="21"/>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序号</w:t>
            </w:r>
          </w:p>
        </w:tc>
        <w:tc>
          <w:tcPr>
            <w:tcW w:w="2430"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项目名称</w:t>
            </w:r>
          </w:p>
        </w:tc>
        <w:tc>
          <w:tcPr>
            <w:tcW w:w="1301"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委托人</w:t>
            </w:r>
          </w:p>
        </w:tc>
        <w:tc>
          <w:tcPr>
            <w:tcW w:w="1297"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委托人</w:t>
            </w:r>
          </w:p>
          <w:p>
            <w:pPr>
              <w:adjustRightInd w:val="0"/>
              <w:snapToGrid w:val="0"/>
              <w:jc w:val="center"/>
              <w:rPr>
                <w:rFonts w:ascii="宋体" w:hAnsi="宋体"/>
                <w:szCs w:val="21"/>
              </w:rPr>
            </w:pPr>
            <w:r>
              <w:rPr>
                <w:rFonts w:hint="eastAsia" w:ascii="宋体" w:hAnsi="宋体"/>
                <w:szCs w:val="21"/>
              </w:rPr>
              <w:t>联系人</w:t>
            </w:r>
          </w:p>
        </w:tc>
        <w:tc>
          <w:tcPr>
            <w:tcW w:w="1042"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联系电话</w:t>
            </w:r>
          </w:p>
        </w:tc>
        <w:tc>
          <w:tcPr>
            <w:tcW w:w="709" w:type="dxa"/>
            <w:vAlign w:val="center"/>
          </w:tcPr>
          <w:p>
            <w:pPr>
              <w:adjustRightInd w:val="0"/>
              <w:snapToGrid w:val="0"/>
              <w:jc w:val="center"/>
              <w:rPr>
                <w:rFonts w:ascii="宋体" w:hAnsi="宋体"/>
                <w:szCs w:val="21"/>
              </w:rPr>
            </w:pPr>
            <w:r>
              <w:rPr>
                <w:rFonts w:hint="eastAsia" w:ascii="宋体" w:hAnsi="宋体"/>
                <w:szCs w:val="21"/>
              </w:rPr>
              <w:t>委托时间</w:t>
            </w:r>
          </w:p>
        </w:tc>
        <w:tc>
          <w:tcPr>
            <w:tcW w:w="1417"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bl>
    <w:p>
      <w:pPr>
        <w:adjustRightInd w:val="0"/>
        <w:snapToGrid w:val="0"/>
        <w:spacing w:before="60" w:beforeLines="25"/>
        <w:ind w:left="-6"/>
        <w:jc w:val="left"/>
        <w:rPr>
          <w:rFonts w:ascii="宋体" w:hAnsi="宋体"/>
          <w:szCs w:val="21"/>
        </w:rPr>
      </w:pPr>
    </w:p>
    <w:p>
      <w:pPr>
        <w:spacing w:line="360" w:lineRule="auto"/>
        <w:outlineLvl w:val="0"/>
        <w:rPr>
          <w:rFonts w:ascii="宋体" w:hAnsi="宋体" w:cs="Arial"/>
          <w:b/>
          <w:kern w:val="0"/>
          <w:sz w:val="32"/>
          <w:szCs w:val="32"/>
        </w:rPr>
      </w:pPr>
      <w:bookmarkStart w:id="51" w:name="_GoBack"/>
      <w:bookmarkEnd w:id="51"/>
    </w:p>
    <w:sectPr>
      <w:pgSz w:w="11906" w:h="16838"/>
      <w:pgMar w:top="1134" w:right="1247" w:bottom="1134" w:left="1531"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
    <w:altName w:val="宋体"/>
    <w:panose1 w:val="00000000000000000000"/>
    <w:charset w:val="00"/>
    <w:family w:val="roman"/>
    <w:pitch w:val="default"/>
    <w:sig w:usb0="00000000" w:usb1="00000000" w:usb2="00000000" w:usb3="00000000" w:csb0="00000001" w:csb1="00000000"/>
  </w:font>
  <w:font w:name="Vrinda">
    <w:altName w:val="Segoe UI Symbol"/>
    <w:panose1 w:val="020B0502040204020203"/>
    <w:charset w:val="01"/>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framePr w:wrap="around" w:vAnchor="text" w:hAnchor="page" w:x="6032" w:y="7"/>
      <w:rPr>
        <w:rStyle w:val="26"/>
      </w:rPr>
    </w:pPr>
    <w:r>
      <w:rPr>
        <w:rStyle w:val="26"/>
      </w:rPr>
      <w:fldChar w:fldCharType="begin"/>
    </w:r>
    <w:r>
      <w:rPr>
        <w:rStyle w:val="26"/>
      </w:rPr>
      <w:instrText xml:space="preserve">PAGE  </w:instrText>
    </w:r>
    <w:r>
      <w:rPr>
        <w:rStyle w:val="26"/>
      </w:rPr>
      <w:fldChar w:fldCharType="separate"/>
    </w:r>
    <w:r>
      <w:rPr>
        <w:rStyle w:val="26"/>
      </w:rPr>
      <w:t>26</w:t>
    </w:r>
    <w:r>
      <w:rPr>
        <w:rStyle w:val="26"/>
      </w:rPr>
      <w:fldChar w:fldCharType="end"/>
    </w:r>
  </w:p>
  <w:p>
    <w:pPr>
      <w:pStyle w:val="15"/>
      <w:jc w:val="right"/>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rPr>
    </w:pPr>
    <w:r>
      <w:rPr>
        <w:rFonts w:hint="eastAsia" w:ascii="仿宋_GB2312" w:eastAsia="仿宋_GB2312"/>
      </w:rPr>
      <w:t>浙江省隧道工程集团有限公司邀请招标文件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条"/>
      <w:lvlJc w:val="left"/>
      <w:pPr>
        <w:ind w:left="1245" w:hanging="8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2"/>
    <w:multiLevelType w:val="multilevel"/>
    <w:tmpl w:val="0000000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3"/>
    <w:multiLevelType w:val="multilevel"/>
    <w:tmpl w:val="0000000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59530B12"/>
    <w:multiLevelType w:val="multilevel"/>
    <w:tmpl w:val="59530B1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ZWNjYWQ1NmIyOTI3ZDNjNGFlMzI2ZmM5OTJkZGUifQ=="/>
  </w:docVars>
  <w:rsids>
    <w:rsidRoot w:val="00C0263E"/>
    <w:rsid w:val="000002C1"/>
    <w:rsid w:val="000009F5"/>
    <w:rsid w:val="00000CDE"/>
    <w:rsid w:val="00001C60"/>
    <w:rsid w:val="00001D75"/>
    <w:rsid w:val="000028F5"/>
    <w:rsid w:val="00002CB1"/>
    <w:rsid w:val="00002E85"/>
    <w:rsid w:val="00003E66"/>
    <w:rsid w:val="000056FF"/>
    <w:rsid w:val="00005AF0"/>
    <w:rsid w:val="00006896"/>
    <w:rsid w:val="00006D2F"/>
    <w:rsid w:val="00007C01"/>
    <w:rsid w:val="000108D6"/>
    <w:rsid w:val="000112D2"/>
    <w:rsid w:val="0001300C"/>
    <w:rsid w:val="000136C2"/>
    <w:rsid w:val="00015251"/>
    <w:rsid w:val="0001562A"/>
    <w:rsid w:val="00016BD8"/>
    <w:rsid w:val="0001761D"/>
    <w:rsid w:val="0001788E"/>
    <w:rsid w:val="00020557"/>
    <w:rsid w:val="00022FDD"/>
    <w:rsid w:val="00023E91"/>
    <w:rsid w:val="00025CC9"/>
    <w:rsid w:val="000261C9"/>
    <w:rsid w:val="000266EE"/>
    <w:rsid w:val="0002713C"/>
    <w:rsid w:val="00027591"/>
    <w:rsid w:val="00031E0E"/>
    <w:rsid w:val="00032A02"/>
    <w:rsid w:val="00032E2A"/>
    <w:rsid w:val="0003354A"/>
    <w:rsid w:val="000354BA"/>
    <w:rsid w:val="0003551C"/>
    <w:rsid w:val="00035AFA"/>
    <w:rsid w:val="00035CCB"/>
    <w:rsid w:val="00036AAC"/>
    <w:rsid w:val="00040515"/>
    <w:rsid w:val="00040BB4"/>
    <w:rsid w:val="000416D4"/>
    <w:rsid w:val="000418DB"/>
    <w:rsid w:val="00042CD4"/>
    <w:rsid w:val="00043783"/>
    <w:rsid w:val="00050034"/>
    <w:rsid w:val="000501AD"/>
    <w:rsid w:val="000502F5"/>
    <w:rsid w:val="0005052D"/>
    <w:rsid w:val="000543A5"/>
    <w:rsid w:val="00054706"/>
    <w:rsid w:val="00055B3E"/>
    <w:rsid w:val="00057418"/>
    <w:rsid w:val="000606F2"/>
    <w:rsid w:val="00062E92"/>
    <w:rsid w:val="00063C59"/>
    <w:rsid w:val="00063DCF"/>
    <w:rsid w:val="00064742"/>
    <w:rsid w:val="00064DD3"/>
    <w:rsid w:val="00065D9B"/>
    <w:rsid w:val="00066676"/>
    <w:rsid w:val="00066834"/>
    <w:rsid w:val="00066E46"/>
    <w:rsid w:val="000718C9"/>
    <w:rsid w:val="000730DB"/>
    <w:rsid w:val="000730EB"/>
    <w:rsid w:val="00073304"/>
    <w:rsid w:val="00073EA9"/>
    <w:rsid w:val="000759AF"/>
    <w:rsid w:val="00075F66"/>
    <w:rsid w:val="00075F88"/>
    <w:rsid w:val="00076C52"/>
    <w:rsid w:val="00077042"/>
    <w:rsid w:val="00077DF2"/>
    <w:rsid w:val="00077E69"/>
    <w:rsid w:val="000809AD"/>
    <w:rsid w:val="00080F94"/>
    <w:rsid w:val="00081FDC"/>
    <w:rsid w:val="00082A27"/>
    <w:rsid w:val="00082F2B"/>
    <w:rsid w:val="00083460"/>
    <w:rsid w:val="00083CBE"/>
    <w:rsid w:val="00083D54"/>
    <w:rsid w:val="0008446F"/>
    <w:rsid w:val="00084B16"/>
    <w:rsid w:val="00087B24"/>
    <w:rsid w:val="00090754"/>
    <w:rsid w:val="0009097D"/>
    <w:rsid w:val="0009185E"/>
    <w:rsid w:val="00091CAD"/>
    <w:rsid w:val="00092D5C"/>
    <w:rsid w:val="0009463E"/>
    <w:rsid w:val="00096F86"/>
    <w:rsid w:val="000A03A1"/>
    <w:rsid w:val="000A04A2"/>
    <w:rsid w:val="000A086F"/>
    <w:rsid w:val="000A2222"/>
    <w:rsid w:val="000A2699"/>
    <w:rsid w:val="000A290B"/>
    <w:rsid w:val="000A34C4"/>
    <w:rsid w:val="000A3905"/>
    <w:rsid w:val="000A424F"/>
    <w:rsid w:val="000A4E30"/>
    <w:rsid w:val="000A53D3"/>
    <w:rsid w:val="000A63F5"/>
    <w:rsid w:val="000A6985"/>
    <w:rsid w:val="000A6F6D"/>
    <w:rsid w:val="000B02E5"/>
    <w:rsid w:val="000B061C"/>
    <w:rsid w:val="000B1199"/>
    <w:rsid w:val="000B1E31"/>
    <w:rsid w:val="000B2C61"/>
    <w:rsid w:val="000B5DEB"/>
    <w:rsid w:val="000B6418"/>
    <w:rsid w:val="000C06B1"/>
    <w:rsid w:val="000C1E5D"/>
    <w:rsid w:val="000C380D"/>
    <w:rsid w:val="000C3CBE"/>
    <w:rsid w:val="000C497D"/>
    <w:rsid w:val="000C4CC9"/>
    <w:rsid w:val="000C5F80"/>
    <w:rsid w:val="000C61CE"/>
    <w:rsid w:val="000C7CBF"/>
    <w:rsid w:val="000D0436"/>
    <w:rsid w:val="000D08E6"/>
    <w:rsid w:val="000D0DBE"/>
    <w:rsid w:val="000D127A"/>
    <w:rsid w:val="000D18E5"/>
    <w:rsid w:val="000D57B9"/>
    <w:rsid w:val="000D7189"/>
    <w:rsid w:val="000D73D9"/>
    <w:rsid w:val="000D7705"/>
    <w:rsid w:val="000E397F"/>
    <w:rsid w:val="000E3BFD"/>
    <w:rsid w:val="000E4468"/>
    <w:rsid w:val="000E47B3"/>
    <w:rsid w:val="000E5077"/>
    <w:rsid w:val="000E7542"/>
    <w:rsid w:val="000E75FB"/>
    <w:rsid w:val="000F0DB3"/>
    <w:rsid w:val="000F272D"/>
    <w:rsid w:val="000F32F6"/>
    <w:rsid w:val="000F38F7"/>
    <w:rsid w:val="000F3BFA"/>
    <w:rsid w:val="000F5193"/>
    <w:rsid w:val="000F6A09"/>
    <w:rsid w:val="000F6C81"/>
    <w:rsid w:val="000F6FE6"/>
    <w:rsid w:val="000F7265"/>
    <w:rsid w:val="000F7908"/>
    <w:rsid w:val="000F79A4"/>
    <w:rsid w:val="000F7BDC"/>
    <w:rsid w:val="000F7C73"/>
    <w:rsid w:val="0010019D"/>
    <w:rsid w:val="001022F6"/>
    <w:rsid w:val="00102CD9"/>
    <w:rsid w:val="001037C9"/>
    <w:rsid w:val="001066B3"/>
    <w:rsid w:val="00106DE7"/>
    <w:rsid w:val="0011001F"/>
    <w:rsid w:val="0011082B"/>
    <w:rsid w:val="00111927"/>
    <w:rsid w:val="00113361"/>
    <w:rsid w:val="00113E7B"/>
    <w:rsid w:val="00114113"/>
    <w:rsid w:val="00114597"/>
    <w:rsid w:val="00114C69"/>
    <w:rsid w:val="00115C6C"/>
    <w:rsid w:val="00117177"/>
    <w:rsid w:val="0011737C"/>
    <w:rsid w:val="001174F8"/>
    <w:rsid w:val="00117FBE"/>
    <w:rsid w:val="00120AEC"/>
    <w:rsid w:val="001215D5"/>
    <w:rsid w:val="00121D56"/>
    <w:rsid w:val="001222BC"/>
    <w:rsid w:val="00123E70"/>
    <w:rsid w:val="00125363"/>
    <w:rsid w:val="0012625C"/>
    <w:rsid w:val="001263CA"/>
    <w:rsid w:val="00131A54"/>
    <w:rsid w:val="0013204A"/>
    <w:rsid w:val="0013206A"/>
    <w:rsid w:val="001320ED"/>
    <w:rsid w:val="001322D2"/>
    <w:rsid w:val="001328DB"/>
    <w:rsid w:val="00132A4C"/>
    <w:rsid w:val="00133211"/>
    <w:rsid w:val="001351EB"/>
    <w:rsid w:val="00135E2A"/>
    <w:rsid w:val="00136315"/>
    <w:rsid w:val="001369F5"/>
    <w:rsid w:val="00140526"/>
    <w:rsid w:val="00140F2D"/>
    <w:rsid w:val="00141422"/>
    <w:rsid w:val="00142ACC"/>
    <w:rsid w:val="001439B6"/>
    <w:rsid w:val="001443F7"/>
    <w:rsid w:val="0014479F"/>
    <w:rsid w:val="00144A34"/>
    <w:rsid w:val="00144F67"/>
    <w:rsid w:val="00146114"/>
    <w:rsid w:val="00146B30"/>
    <w:rsid w:val="00147365"/>
    <w:rsid w:val="00147D86"/>
    <w:rsid w:val="0015050C"/>
    <w:rsid w:val="00157112"/>
    <w:rsid w:val="0015773F"/>
    <w:rsid w:val="00160680"/>
    <w:rsid w:val="00160AAC"/>
    <w:rsid w:val="0016105D"/>
    <w:rsid w:val="00162497"/>
    <w:rsid w:val="001652C5"/>
    <w:rsid w:val="0016559E"/>
    <w:rsid w:val="0016571F"/>
    <w:rsid w:val="00167560"/>
    <w:rsid w:val="00170AD1"/>
    <w:rsid w:val="00171D03"/>
    <w:rsid w:val="00171D7C"/>
    <w:rsid w:val="001723A5"/>
    <w:rsid w:val="0017243C"/>
    <w:rsid w:val="00173DD5"/>
    <w:rsid w:val="0017461F"/>
    <w:rsid w:val="00176744"/>
    <w:rsid w:val="0018091A"/>
    <w:rsid w:val="001826FD"/>
    <w:rsid w:val="0018353C"/>
    <w:rsid w:val="0018432A"/>
    <w:rsid w:val="001862A7"/>
    <w:rsid w:val="00186992"/>
    <w:rsid w:val="00186C4F"/>
    <w:rsid w:val="00187CAD"/>
    <w:rsid w:val="001912F3"/>
    <w:rsid w:val="00191482"/>
    <w:rsid w:val="001925E2"/>
    <w:rsid w:val="00193BA7"/>
    <w:rsid w:val="00194722"/>
    <w:rsid w:val="00194C35"/>
    <w:rsid w:val="00197335"/>
    <w:rsid w:val="001A019C"/>
    <w:rsid w:val="001A249C"/>
    <w:rsid w:val="001A3372"/>
    <w:rsid w:val="001A38B4"/>
    <w:rsid w:val="001A40A3"/>
    <w:rsid w:val="001A5E7F"/>
    <w:rsid w:val="001A6860"/>
    <w:rsid w:val="001A7DB5"/>
    <w:rsid w:val="001B01E5"/>
    <w:rsid w:val="001B0C51"/>
    <w:rsid w:val="001B1E86"/>
    <w:rsid w:val="001B2696"/>
    <w:rsid w:val="001B3DA7"/>
    <w:rsid w:val="001B4F86"/>
    <w:rsid w:val="001B6E7D"/>
    <w:rsid w:val="001B760E"/>
    <w:rsid w:val="001B7DF7"/>
    <w:rsid w:val="001C0754"/>
    <w:rsid w:val="001C1AC9"/>
    <w:rsid w:val="001C2498"/>
    <w:rsid w:val="001C2BDF"/>
    <w:rsid w:val="001C497A"/>
    <w:rsid w:val="001C4B00"/>
    <w:rsid w:val="001C6F28"/>
    <w:rsid w:val="001C7DE9"/>
    <w:rsid w:val="001D02F7"/>
    <w:rsid w:val="001D20C5"/>
    <w:rsid w:val="001D2BB4"/>
    <w:rsid w:val="001D31C8"/>
    <w:rsid w:val="001D34C8"/>
    <w:rsid w:val="001D3857"/>
    <w:rsid w:val="001D4FE0"/>
    <w:rsid w:val="001D51B5"/>
    <w:rsid w:val="001D5DE6"/>
    <w:rsid w:val="001E4915"/>
    <w:rsid w:val="001E6BC1"/>
    <w:rsid w:val="001E70F4"/>
    <w:rsid w:val="001E7167"/>
    <w:rsid w:val="001F00B3"/>
    <w:rsid w:val="001F3E18"/>
    <w:rsid w:val="001F4539"/>
    <w:rsid w:val="001F4837"/>
    <w:rsid w:val="001F4C66"/>
    <w:rsid w:val="001F62BA"/>
    <w:rsid w:val="001F696F"/>
    <w:rsid w:val="00201E84"/>
    <w:rsid w:val="00202FCE"/>
    <w:rsid w:val="002052EF"/>
    <w:rsid w:val="00205867"/>
    <w:rsid w:val="00205DB5"/>
    <w:rsid w:val="002066FC"/>
    <w:rsid w:val="00210A0D"/>
    <w:rsid w:val="00210EE8"/>
    <w:rsid w:val="002110CD"/>
    <w:rsid w:val="002127A4"/>
    <w:rsid w:val="002127CB"/>
    <w:rsid w:val="0021297A"/>
    <w:rsid w:val="00212DB2"/>
    <w:rsid w:val="00213986"/>
    <w:rsid w:val="00213D33"/>
    <w:rsid w:val="00214857"/>
    <w:rsid w:val="00215A66"/>
    <w:rsid w:val="00215B90"/>
    <w:rsid w:val="002162BC"/>
    <w:rsid w:val="002165D5"/>
    <w:rsid w:val="00216B9A"/>
    <w:rsid w:val="0021729A"/>
    <w:rsid w:val="00217DC9"/>
    <w:rsid w:val="00220F81"/>
    <w:rsid w:val="00222978"/>
    <w:rsid w:val="00223022"/>
    <w:rsid w:val="00223974"/>
    <w:rsid w:val="00225446"/>
    <w:rsid w:val="00225C35"/>
    <w:rsid w:val="002276E2"/>
    <w:rsid w:val="002309F6"/>
    <w:rsid w:val="00231275"/>
    <w:rsid w:val="00231430"/>
    <w:rsid w:val="00231D90"/>
    <w:rsid w:val="00233230"/>
    <w:rsid w:val="00237858"/>
    <w:rsid w:val="0024069F"/>
    <w:rsid w:val="0024077E"/>
    <w:rsid w:val="0024100D"/>
    <w:rsid w:val="002414D0"/>
    <w:rsid w:val="00243597"/>
    <w:rsid w:val="002437AE"/>
    <w:rsid w:val="00244D0F"/>
    <w:rsid w:val="00244EC2"/>
    <w:rsid w:val="002455C9"/>
    <w:rsid w:val="0024647B"/>
    <w:rsid w:val="00246B1C"/>
    <w:rsid w:val="002470CF"/>
    <w:rsid w:val="0024730D"/>
    <w:rsid w:val="002503ED"/>
    <w:rsid w:val="00250B8B"/>
    <w:rsid w:val="00250BCD"/>
    <w:rsid w:val="0025128B"/>
    <w:rsid w:val="00252888"/>
    <w:rsid w:val="00252D22"/>
    <w:rsid w:val="00252E51"/>
    <w:rsid w:val="00253612"/>
    <w:rsid w:val="002538A5"/>
    <w:rsid w:val="0025492B"/>
    <w:rsid w:val="00255EA9"/>
    <w:rsid w:val="00256D5A"/>
    <w:rsid w:val="0025787C"/>
    <w:rsid w:val="00257D42"/>
    <w:rsid w:val="0026079D"/>
    <w:rsid w:val="00260C8F"/>
    <w:rsid w:val="00260C90"/>
    <w:rsid w:val="00262347"/>
    <w:rsid w:val="00262390"/>
    <w:rsid w:val="002630D5"/>
    <w:rsid w:val="0026382D"/>
    <w:rsid w:val="00263DAE"/>
    <w:rsid w:val="002650F8"/>
    <w:rsid w:val="0026534D"/>
    <w:rsid w:val="002659A6"/>
    <w:rsid w:val="00265FA5"/>
    <w:rsid w:val="0026661E"/>
    <w:rsid w:val="00266705"/>
    <w:rsid w:val="00267723"/>
    <w:rsid w:val="0027086F"/>
    <w:rsid w:val="00272B05"/>
    <w:rsid w:val="00274732"/>
    <w:rsid w:val="00274D91"/>
    <w:rsid w:val="002755A5"/>
    <w:rsid w:val="00275D10"/>
    <w:rsid w:val="0027682A"/>
    <w:rsid w:val="00276C70"/>
    <w:rsid w:val="0027745D"/>
    <w:rsid w:val="002777AC"/>
    <w:rsid w:val="00277985"/>
    <w:rsid w:val="00281901"/>
    <w:rsid w:val="002820FC"/>
    <w:rsid w:val="002825E7"/>
    <w:rsid w:val="00283106"/>
    <w:rsid w:val="00283D72"/>
    <w:rsid w:val="00284156"/>
    <w:rsid w:val="002865CB"/>
    <w:rsid w:val="00286B13"/>
    <w:rsid w:val="00290818"/>
    <w:rsid w:val="002928E2"/>
    <w:rsid w:val="00292D37"/>
    <w:rsid w:val="00292F8C"/>
    <w:rsid w:val="002931C8"/>
    <w:rsid w:val="00293A28"/>
    <w:rsid w:val="00293AB0"/>
    <w:rsid w:val="002947F1"/>
    <w:rsid w:val="002966A7"/>
    <w:rsid w:val="00296A80"/>
    <w:rsid w:val="002A0441"/>
    <w:rsid w:val="002A0B08"/>
    <w:rsid w:val="002A1CA8"/>
    <w:rsid w:val="002A2452"/>
    <w:rsid w:val="002A2E55"/>
    <w:rsid w:val="002A3267"/>
    <w:rsid w:val="002A6EBD"/>
    <w:rsid w:val="002A79B7"/>
    <w:rsid w:val="002B07F3"/>
    <w:rsid w:val="002B2A2D"/>
    <w:rsid w:val="002B2A81"/>
    <w:rsid w:val="002B3B37"/>
    <w:rsid w:val="002B4714"/>
    <w:rsid w:val="002C15E8"/>
    <w:rsid w:val="002C1B5D"/>
    <w:rsid w:val="002C207F"/>
    <w:rsid w:val="002C3175"/>
    <w:rsid w:val="002C3295"/>
    <w:rsid w:val="002C3DFF"/>
    <w:rsid w:val="002C4618"/>
    <w:rsid w:val="002C47BB"/>
    <w:rsid w:val="002C55DC"/>
    <w:rsid w:val="002D1374"/>
    <w:rsid w:val="002D1C06"/>
    <w:rsid w:val="002E1598"/>
    <w:rsid w:val="002E1F1D"/>
    <w:rsid w:val="002E381E"/>
    <w:rsid w:val="002E4F63"/>
    <w:rsid w:val="002E4F71"/>
    <w:rsid w:val="002E59CB"/>
    <w:rsid w:val="002E6E3A"/>
    <w:rsid w:val="002E7FC6"/>
    <w:rsid w:val="002F1D85"/>
    <w:rsid w:val="002F1E02"/>
    <w:rsid w:val="002F2EEB"/>
    <w:rsid w:val="002F35EE"/>
    <w:rsid w:val="002F3AF8"/>
    <w:rsid w:val="002F5DBB"/>
    <w:rsid w:val="002F646A"/>
    <w:rsid w:val="002F6725"/>
    <w:rsid w:val="002F6C70"/>
    <w:rsid w:val="002F71AA"/>
    <w:rsid w:val="00302CF3"/>
    <w:rsid w:val="00302FAA"/>
    <w:rsid w:val="00303971"/>
    <w:rsid w:val="00304253"/>
    <w:rsid w:val="00304446"/>
    <w:rsid w:val="0030479F"/>
    <w:rsid w:val="003051A4"/>
    <w:rsid w:val="0030574A"/>
    <w:rsid w:val="00305DCB"/>
    <w:rsid w:val="00306517"/>
    <w:rsid w:val="00307F4F"/>
    <w:rsid w:val="00313338"/>
    <w:rsid w:val="00314216"/>
    <w:rsid w:val="00314476"/>
    <w:rsid w:val="003144B8"/>
    <w:rsid w:val="003153CD"/>
    <w:rsid w:val="00315A5B"/>
    <w:rsid w:val="00316488"/>
    <w:rsid w:val="00316B27"/>
    <w:rsid w:val="00316E22"/>
    <w:rsid w:val="00316EE7"/>
    <w:rsid w:val="003174EB"/>
    <w:rsid w:val="00317CEF"/>
    <w:rsid w:val="003209A1"/>
    <w:rsid w:val="003227D9"/>
    <w:rsid w:val="003242B0"/>
    <w:rsid w:val="00324F11"/>
    <w:rsid w:val="0032595F"/>
    <w:rsid w:val="00325D8E"/>
    <w:rsid w:val="00326D87"/>
    <w:rsid w:val="003306CD"/>
    <w:rsid w:val="00330E08"/>
    <w:rsid w:val="00331590"/>
    <w:rsid w:val="0033223F"/>
    <w:rsid w:val="003337A4"/>
    <w:rsid w:val="0033603E"/>
    <w:rsid w:val="00336EA4"/>
    <w:rsid w:val="00337409"/>
    <w:rsid w:val="00341AD9"/>
    <w:rsid w:val="00342090"/>
    <w:rsid w:val="00342141"/>
    <w:rsid w:val="00343CBD"/>
    <w:rsid w:val="00344B85"/>
    <w:rsid w:val="00344E40"/>
    <w:rsid w:val="00350A07"/>
    <w:rsid w:val="00351A75"/>
    <w:rsid w:val="00351EF2"/>
    <w:rsid w:val="00351F7D"/>
    <w:rsid w:val="0035207B"/>
    <w:rsid w:val="003521E8"/>
    <w:rsid w:val="00352586"/>
    <w:rsid w:val="00353F4D"/>
    <w:rsid w:val="00354D41"/>
    <w:rsid w:val="003555F4"/>
    <w:rsid w:val="003567D3"/>
    <w:rsid w:val="00356A6B"/>
    <w:rsid w:val="003626BF"/>
    <w:rsid w:val="003638E8"/>
    <w:rsid w:val="003645DF"/>
    <w:rsid w:val="00364F65"/>
    <w:rsid w:val="0036504E"/>
    <w:rsid w:val="003676AE"/>
    <w:rsid w:val="003677EC"/>
    <w:rsid w:val="0036795A"/>
    <w:rsid w:val="00367B2A"/>
    <w:rsid w:val="00371469"/>
    <w:rsid w:val="00372732"/>
    <w:rsid w:val="00372FF1"/>
    <w:rsid w:val="00373BE1"/>
    <w:rsid w:val="00373C8C"/>
    <w:rsid w:val="0037534C"/>
    <w:rsid w:val="0037576A"/>
    <w:rsid w:val="0037609C"/>
    <w:rsid w:val="0037703B"/>
    <w:rsid w:val="00377513"/>
    <w:rsid w:val="00381C1E"/>
    <w:rsid w:val="003826C6"/>
    <w:rsid w:val="00384395"/>
    <w:rsid w:val="00384410"/>
    <w:rsid w:val="0038450F"/>
    <w:rsid w:val="00384768"/>
    <w:rsid w:val="0038509B"/>
    <w:rsid w:val="00386A4A"/>
    <w:rsid w:val="00391BD8"/>
    <w:rsid w:val="003923D5"/>
    <w:rsid w:val="00393A45"/>
    <w:rsid w:val="003944DD"/>
    <w:rsid w:val="00394D3A"/>
    <w:rsid w:val="00395509"/>
    <w:rsid w:val="00395666"/>
    <w:rsid w:val="00395F5E"/>
    <w:rsid w:val="003960D5"/>
    <w:rsid w:val="003A0367"/>
    <w:rsid w:val="003A08D9"/>
    <w:rsid w:val="003A2855"/>
    <w:rsid w:val="003A3BA4"/>
    <w:rsid w:val="003A4DB9"/>
    <w:rsid w:val="003A79F0"/>
    <w:rsid w:val="003A7A5B"/>
    <w:rsid w:val="003A7B15"/>
    <w:rsid w:val="003B03AB"/>
    <w:rsid w:val="003B0B28"/>
    <w:rsid w:val="003B2247"/>
    <w:rsid w:val="003B2788"/>
    <w:rsid w:val="003B3719"/>
    <w:rsid w:val="003B3D29"/>
    <w:rsid w:val="003B4BB8"/>
    <w:rsid w:val="003B4EAF"/>
    <w:rsid w:val="003B4F56"/>
    <w:rsid w:val="003B54A6"/>
    <w:rsid w:val="003B58FD"/>
    <w:rsid w:val="003B700A"/>
    <w:rsid w:val="003C187B"/>
    <w:rsid w:val="003C5043"/>
    <w:rsid w:val="003C5618"/>
    <w:rsid w:val="003C568F"/>
    <w:rsid w:val="003C6BF6"/>
    <w:rsid w:val="003C6EE3"/>
    <w:rsid w:val="003C7017"/>
    <w:rsid w:val="003C7A1B"/>
    <w:rsid w:val="003C7F0C"/>
    <w:rsid w:val="003D04CC"/>
    <w:rsid w:val="003D1AA4"/>
    <w:rsid w:val="003D1B96"/>
    <w:rsid w:val="003D1EC8"/>
    <w:rsid w:val="003D1F41"/>
    <w:rsid w:val="003D2399"/>
    <w:rsid w:val="003D4189"/>
    <w:rsid w:val="003D4892"/>
    <w:rsid w:val="003D4B2B"/>
    <w:rsid w:val="003D4D27"/>
    <w:rsid w:val="003D5714"/>
    <w:rsid w:val="003D5995"/>
    <w:rsid w:val="003E0D99"/>
    <w:rsid w:val="003E154F"/>
    <w:rsid w:val="003E35B3"/>
    <w:rsid w:val="003E3905"/>
    <w:rsid w:val="003E3CB4"/>
    <w:rsid w:val="003E525E"/>
    <w:rsid w:val="003E5F5A"/>
    <w:rsid w:val="003E7E19"/>
    <w:rsid w:val="003F0436"/>
    <w:rsid w:val="003F2CD7"/>
    <w:rsid w:val="003F353E"/>
    <w:rsid w:val="003F371C"/>
    <w:rsid w:val="003F37FC"/>
    <w:rsid w:val="003F40A0"/>
    <w:rsid w:val="003F4546"/>
    <w:rsid w:val="003F46CF"/>
    <w:rsid w:val="003F48E5"/>
    <w:rsid w:val="003F7668"/>
    <w:rsid w:val="003F7B53"/>
    <w:rsid w:val="003F7D0C"/>
    <w:rsid w:val="0040064F"/>
    <w:rsid w:val="00400AB5"/>
    <w:rsid w:val="00403485"/>
    <w:rsid w:val="00404488"/>
    <w:rsid w:val="004047A1"/>
    <w:rsid w:val="00405566"/>
    <w:rsid w:val="00405A7C"/>
    <w:rsid w:val="00406EEC"/>
    <w:rsid w:val="0040721A"/>
    <w:rsid w:val="00407B90"/>
    <w:rsid w:val="004115C1"/>
    <w:rsid w:val="00411E5D"/>
    <w:rsid w:val="00412468"/>
    <w:rsid w:val="00412B14"/>
    <w:rsid w:val="0041307E"/>
    <w:rsid w:val="0041422B"/>
    <w:rsid w:val="00414E39"/>
    <w:rsid w:val="0041574E"/>
    <w:rsid w:val="004162EC"/>
    <w:rsid w:val="0041682E"/>
    <w:rsid w:val="004173B4"/>
    <w:rsid w:val="00417822"/>
    <w:rsid w:val="004214E2"/>
    <w:rsid w:val="0042180E"/>
    <w:rsid w:val="0042194A"/>
    <w:rsid w:val="0042296B"/>
    <w:rsid w:val="00424D28"/>
    <w:rsid w:val="00424D2D"/>
    <w:rsid w:val="00425327"/>
    <w:rsid w:val="004259C2"/>
    <w:rsid w:val="00425CD1"/>
    <w:rsid w:val="00425EA7"/>
    <w:rsid w:val="004307AD"/>
    <w:rsid w:val="00431657"/>
    <w:rsid w:val="004326DF"/>
    <w:rsid w:val="00434D28"/>
    <w:rsid w:val="00436803"/>
    <w:rsid w:val="00440012"/>
    <w:rsid w:val="00440211"/>
    <w:rsid w:val="00440F8A"/>
    <w:rsid w:val="00441722"/>
    <w:rsid w:val="004424C2"/>
    <w:rsid w:val="004426BD"/>
    <w:rsid w:val="0044328F"/>
    <w:rsid w:val="00443D88"/>
    <w:rsid w:val="00445320"/>
    <w:rsid w:val="00446D1A"/>
    <w:rsid w:val="00446D9F"/>
    <w:rsid w:val="00451BC4"/>
    <w:rsid w:val="004536F3"/>
    <w:rsid w:val="004549A3"/>
    <w:rsid w:val="004549CC"/>
    <w:rsid w:val="0045688B"/>
    <w:rsid w:val="00456ED0"/>
    <w:rsid w:val="0045728E"/>
    <w:rsid w:val="00457BF3"/>
    <w:rsid w:val="004604B9"/>
    <w:rsid w:val="004606BF"/>
    <w:rsid w:val="00461234"/>
    <w:rsid w:val="00462403"/>
    <w:rsid w:val="0046292C"/>
    <w:rsid w:val="0046330E"/>
    <w:rsid w:val="0046412F"/>
    <w:rsid w:val="004643B6"/>
    <w:rsid w:val="004653E8"/>
    <w:rsid w:val="0046627A"/>
    <w:rsid w:val="00466909"/>
    <w:rsid w:val="0046732C"/>
    <w:rsid w:val="004709DE"/>
    <w:rsid w:val="00470EF5"/>
    <w:rsid w:val="00471293"/>
    <w:rsid w:val="00471448"/>
    <w:rsid w:val="00471EAE"/>
    <w:rsid w:val="00471EDA"/>
    <w:rsid w:val="00472960"/>
    <w:rsid w:val="00473100"/>
    <w:rsid w:val="00476860"/>
    <w:rsid w:val="00481A01"/>
    <w:rsid w:val="00482535"/>
    <w:rsid w:val="00483955"/>
    <w:rsid w:val="00484167"/>
    <w:rsid w:val="00487068"/>
    <w:rsid w:val="00487279"/>
    <w:rsid w:val="00487518"/>
    <w:rsid w:val="00487544"/>
    <w:rsid w:val="0049272B"/>
    <w:rsid w:val="00493401"/>
    <w:rsid w:val="00493584"/>
    <w:rsid w:val="004943C8"/>
    <w:rsid w:val="00494C5F"/>
    <w:rsid w:val="00495D3C"/>
    <w:rsid w:val="004967F4"/>
    <w:rsid w:val="00496C15"/>
    <w:rsid w:val="0049789E"/>
    <w:rsid w:val="004A0069"/>
    <w:rsid w:val="004A02C3"/>
    <w:rsid w:val="004A05C0"/>
    <w:rsid w:val="004A078A"/>
    <w:rsid w:val="004A216B"/>
    <w:rsid w:val="004A2E90"/>
    <w:rsid w:val="004A3A64"/>
    <w:rsid w:val="004A410C"/>
    <w:rsid w:val="004B0F4B"/>
    <w:rsid w:val="004B10F0"/>
    <w:rsid w:val="004B1A1A"/>
    <w:rsid w:val="004B1E06"/>
    <w:rsid w:val="004B381B"/>
    <w:rsid w:val="004B47DF"/>
    <w:rsid w:val="004B4BF0"/>
    <w:rsid w:val="004B4EA4"/>
    <w:rsid w:val="004B536D"/>
    <w:rsid w:val="004B5F76"/>
    <w:rsid w:val="004B7817"/>
    <w:rsid w:val="004B7862"/>
    <w:rsid w:val="004B7EC2"/>
    <w:rsid w:val="004B7F45"/>
    <w:rsid w:val="004C050A"/>
    <w:rsid w:val="004C0690"/>
    <w:rsid w:val="004C0C45"/>
    <w:rsid w:val="004C1240"/>
    <w:rsid w:val="004C1A67"/>
    <w:rsid w:val="004C1B5E"/>
    <w:rsid w:val="004C2043"/>
    <w:rsid w:val="004C292B"/>
    <w:rsid w:val="004C2A81"/>
    <w:rsid w:val="004C2CF2"/>
    <w:rsid w:val="004C322C"/>
    <w:rsid w:val="004C3327"/>
    <w:rsid w:val="004C4427"/>
    <w:rsid w:val="004C4EB4"/>
    <w:rsid w:val="004C5A22"/>
    <w:rsid w:val="004C6F60"/>
    <w:rsid w:val="004C7F03"/>
    <w:rsid w:val="004D04C0"/>
    <w:rsid w:val="004D0611"/>
    <w:rsid w:val="004D127B"/>
    <w:rsid w:val="004D1DD1"/>
    <w:rsid w:val="004D2C24"/>
    <w:rsid w:val="004D2C40"/>
    <w:rsid w:val="004D3392"/>
    <w:rsid w:val="004D33F5"/>
    <w:rsid w:val="004D37F7"/>
    <w:rsid w:val="004D53E7"/>
    <w:rsid w:val="004D555F"/>
    <w:rsid w:val="004D608E"/>
    <w:rsid w:val="004E2EF7"/>
    <w:rsid w:val="004E378D"/>
    <w:rsid w:val="004E3851"/>
    <w:rsid w:val="004E5034"/>
    <w:rsid w:val="004E7106"/>
    <w:rsid w:val="004F0A29"/>
    <w:rsid w:val="004F1C57"/>
    <w:rsid w:val="004F2B35"/>
    <w:rsid w:val="004F4F3B"/>
    <w:rsid w:val="004F59E4"/>
    <w:rsid w:val="004F62DF"/>
    <w:rsid w:val="004F7B88"/>
    <w:rsid w:val="005004D5"/>
    <w:rsid w:val="00500793"/>
    <w:rsid w:val="005022F1"/>
    <w:rsid w:val="00506236"/>
    <w:rsid w:val="005064D1"/>
    <w:rsid w:val="00511F85"/>
    <w:rsid w:val="0051230D"/>
    <w:rsid w:val="00514BD7"/>
    <w:rsid w:val="00515CE6"/>
    <w:rsid w:val="005163CA"/>
    <w:rsid w:val="00516599"/>
    <w:rsid w:val="00516D36"/>
    <w:rsid w:val="005170E9"/>
    <w:rsid w:val="00517726"/>
    <w:rsid w:val="0052291B"/>
    <w:rsid w:val="0052294E"/>
    <w:rsid w:val="00523418"/>
    <w:rsid w:val="00523787"/>
    <w:rsid w:val="00524840"/>
    <w:rsid w:val="00524C88"/>
    <w:rsid w:val="005265FE"/>
    <w:rsid w:val="00530605"/>
    <w:rsid w:val="00530C49"/>
    <w:rsid w:val="00531F2A"/>
    <w:rsid w:val="00531F9E"/>
    <w:rsid w:val="0053219E"/>
    <w:rsid w:val="0053284E"/>
    <w:rsid w:val="00536BCC"/>
    <w:rsid w:val="00537193"/>
    <w:rsid w:val="00537ABF"/>
    <w:rsid w:val="00541B7C"/>
    <w:rsid w:val="005430EF"/>
    <w:rsid w:val="005434C3"/>
    <w:rsid w:val="00544090"/>
    <w:rsid w:val="005442B4"/>
    <w:rsid w:val="00547EFB"/>
    <w:rsid w:val="00550AC3"/>
    <w:rsid w:val="00550FE0"/>
    <w:rsid w:val="00552A2D"/>
    <w:rsid w:val="0055555B"/>
    <w:rsid w:val="00555C47"/>
    <w:rsid w:val="00555EC6"/>
    <w:rsid w:val="005563F0"/>
    <w:rsid w:val="005604EE"/>
    <w:rsid w:val="00562D64"/>
    <w:rsid w:val="00563229"/>
    <w:rsid w:val="0056409F"/>
    <w:rsid w:val="005643F8"/>
    <w:rsid w:val="00567724"/>
    <w:rsid w:val="00571E9D"/>
    <w:rsid w:val="00572565"/>
    <w:rsid w:val="0057402A"/>
    <w:rsid w:val="00574853"/>
    <w:rsid w:val="00575087"/>
    <w:rsid w:val="00575CB5"/>
    <w:rsid w:val="0057683D"/>
    <w:rsid w:val="005777F1"/>
    <w:rsid w:val="00577925"/>
    <w:rsid w:val="00577A03"/>
    <w:rsid w:val="00577C35"/>
    <w:rsid w:val="00580018"/>
    <w:rsid w:val="00581F99"/>
    <w:rsid w:val="005837D2"/>
    <w:rsid w:val="0058391D"/>
    <w:rsid w:val="00583AD7"/>
    <w:rsid w:val="00583CBA"/>
    <w:rsid w:val="00583FE5"/>
    <w:rsid w:val="00590502"/>
    <w:rsid w:val="00590D53"/>
    <w:rsid w:val="00591CE4"/>
    <w:rsid w:val="00592459"/>
    <w:rsid w:val="00592F3D"/>
    <w:rsid w:val="005952C9"/>
    <w:rsid w:val="005955D8"/>
    <w:rsid w:val="00596EDA"/>
    <w:rsid w:val="00597C9D"/>
    <w:rsid w:val="005A1149"/>
    <w:rsid w:val="005A1330"/>
    <w:rsid w:val="005A3834"/>
    <w:rsid w:val="005A48BC"/>
    <w:rsid w:val="005A6400"/>
    <w:rsid w:val="005A7C47"/>
    <w:rsid w:val="005B0F5B"/>
    <w:rsid w:val="005B28F5"/>
    <w:rsid w:val="005B2F6D"/>
    <w:rsid w:val="005B403A"/>
    <w:rsid w:val="005B4D1F"/>
    <w:rsid w:val="005B6E33"/>
    <w:rsid w:val="005B79B6"/>
    <w:rsid w:val="005C0E93"/>
    <w:rsid w:val="005C0F97"/>
    <w:rsid w:val="005C1334"/>
    <w:rsid w:val="005C1978"/>
    <w:rsid w:val="005C1EE2"/>
    <w:rsid w:val="005C2855"/>
    <w:rsid w:val="005C309B"/>
    <w:rsid w:val="005C3E22"/>
    <w:rsid w:val="005C5BE2"/>
    <w:rsid w:val="005C5DB9"/>
    <w:rsid w:val="005C6CE5"/>
    <w:rsid w:val="005C7589"/>
    <w:rsid w:val="005D021E"/>
    <w:rsid w:val="005D1AE8"/>
    <w:rsid w:val="005D30B7"/>
    <w:rsid w:val="005D3141"/>
    <w:rsid w:val="005D36F8"/>
    <w:rsid w:val="005D4634"/>
    <w:rsid w:val="005D4EBC"/>
    <w:rsid w:val="005D551B"/>
    <w:rsid w:val="005D5F3D"/>
    <w:rsid w:val="005D63D7"/>
    <w:rsid w:val="005D6649"/>
    <w:rsid w:val="005E1B6E"/>
    <w:rsid w:val="005E1F06"/>
    <w:rsid w:val="005E32F8"/>
    <w:rsid w:val="005E3793"/>
    <w:rsid w:val="005E3D2F"/>
    <w:rsid w:val="005E4A5A"/>
    <w:rsid w:val="005E693B"/>
    <w:rsid w:val="005E72F3"/>
    <w:rsid w:val="005E7472"/>
    <w:rsid w:val="005E7B5F"/>
    <w:rsid w:val="005F0FD8"/>
    <w:rsid w:val="005F5BE0"/>
    <w:rsid w:val="005F6C3A"/>
    <w:rsid w:val="005F7DDB"/>
    <w:rsid w:val="005F7F80"/>
    <w:rsid w:val="00601721"/>
    <w:rsid w:val="006022BB"/>
    <w:rsid w:val="00603A01"/>
    <w:rsid w:val="00604685"/>
    <w:rsid w:val="00606FEE"/>
    <w:rsid w:val="0060712A"/>
    <w:rsid w:val="006079B2"/>
    <w:rsid w:val="00607A26"/>
    <w:rsid w:val="006101E4"/>
    <w:rsid w:val="00611862"/>
    <w:rsid w:val="00611CDC"/>
    <w:rsid w:val="006130D3"/>
    <w:rsid w:val="006132AB"/>
    <w:rsid w:val="006172B1"/>
    <w:rsid w:val="00620E41"/>
    <w:rsid w:val="00621283"/>
    <w:rsid w:val="0062215B"/>
    <w:rsid w:val="00622A7F"/>
    <w:rsid w:val="00623206"/>
    <w:rsid w:val="0062526A"/>
    <w:rsid w:val="006259CE"/>
    <w:rsid w:val="00626144"/>
    <w:rsid w:val="00627112"/>
    <w:rsid w:val="006278D5"/>
    <w:rsid w:val="00627F9E"/>
    <w:rsid w:val="00632C56"/>
    <w:rsid w:val="0063588F"/>
    <w:rsid w:val="006361EA"/>
    <w:rsid w:val="00636675"/>
    <w:rsid w:val="006378A4"/>
    <w:rsid w:val="00637CDB"/>
    <w:rsid w:val="0064055E"/>
    <w:rsid w:val="00640708"/>
    <w:rsid w:val="00640737"/>
    <w:rsid w:val="006421F5"/>
    <w:rsid w:val="006424F8"/>
    <w:rsid w:val="00642C5B"/>
    <w:rsid w:val="006449FE"/>
    <w:rsid w:val="00645512"/>
    <w:rsid w:val="0064585F"/>
    <w:rsid w:val="00645BF8"/>
    <w:rsid w:val="00646653"/>
    <w:rsid w:val="00646D07"/>
    <w:rsid w:val="006471A9"/>
    <w:rsid w:val="00647304"/>
    <w:rsid w:val="00650922"/>
    <w:rsid w:val="0065192A"/>
    <w:rsid w:val="006531D9"/>
    <w:rsid w:val="006543F7"/>
    <w:rsid w:val="00655B53"/>
    <w:rsid w:val="00655C5B"/>
    <w:rsid w:val="00657EFF"/>
    <w:rsid w:val="006604C9"/>
    <w:rsid w:val="00661527"/>
    <w:rsid w:val="006646C8"/>
    <w:rsid w:val="00665633"/>
    <w:rsid w:val="00665C79"/>
    <w:rsid w:val="00666012"/>
    <w:rsid w:val="006668DB"/>
    <w:rsid w:val="00667822"/>
    <w:rsid w:val="0067037A"/>
    <w:rsid w:val="00670AB3"/>
    <w:rsid w:val="0067254C"/>
    <w:rsid w:val="00673C4D"/>
    <w:rsid w:val="0067582D"/>
    <w:rsid w:val="00676F02"/>
    <w:rsid w:val="0068029B"/>
    <w:rsid w:val="00682773"/>
    <w:rsid w:val="00682790"/>
    <w:rsid w:val="00682BB9"/>
    <w:rsid w:val="006834AE"/>
    <w:rsid w:val="0068486D"/>
    <w:rsid w:val="00685796"/>
    <w:rsid w:val="006858E0"/>
    <w:rsid w:val="00685B57"/>
    <w:rsid w:val="006861AC"/>
    <w:rsid w:val="00687B95"/>
    <w:rsid w:val="006904B0"/>
    <w:rsid w:val="006916A4"/>
    <w:rsid w:val="00692A44"/>
    <w:rsid w:val="00693A14"/>
    <w:rsid w:val="006954BE"/>
    <w:rsid w:val="00696AE7"/>
    <w:rsid w:val="00696B42"/>
    <w:rsid w:val="00697538"/>
    <w:rsid w:val="006A0CBA"/>
    <w:rsid w:val="006A1F64"/>
    <w:rsid w:val="006A31BB"/>
    <w:rsid w:val="006A3B97"/>
    <w:rsid w:val="006A4087"/>
    <w:rsid w:val="006A5689"/>
    <w:rsid w:val="006A5F83"/>
    <w:rsid w:val="006A6614"/>
    <w:rsid w:val="006A7023"/>
    <w:rsid w:val="006A74EA"/>
    <w:rsid w:val="006B15D4"/>
    <w:rsid w:val="006B21AC"/>
    <w:rsid w:val="006B3304"/>
    <w:rsid w:val="006B3650"/>
    <w:rsid w:val="006B3679"/>
    <w:rsid w:val="006B40D6"/>
    <w:rsid w:val="006B4D3C"/>
    <w:rsid w:val="006B5C73"/>
    <w:rsid w:val="006C31FB"/>
    <w:rsid w:val="006C3427"/>
    <w:rsid w:val="006C34AD"/>
    <w:rsid w:val="006C3AAE"/>
    <w:rsid w:val="006C4CC8"/>
    <w:rsid w:val="006C6804"/>
    <w:rsid w:val="006C7B05"/>
    <w:rsid w:val="006D02AF"/>
    <w:rsid w:val="006D0A31"/>
    <w:rsid w:val="006D132B"/>
    <w:rsid w:val="006D28D6"/>
    <w:rsid w:val="006D3349"/>
    <w:rsid w:val="006D3E0D"/>
    <w:rsid w:val="006D4273"/>
    <w:rsid w:val="006D45F4"/>
    <w:rsid w:val="006D512B"/>
    <w:rsid w:val="006E0A85"/>
    <w:rsid w:val="006E2631"/>
    <w:rsid w:val="006E3698"/>
    <w:rsid w:val="006E4A22"/>
    <w:rsid w:val="006E699C"/>
    <w:rsid w:val="006E6F3C"/>
    <w:rsid w:val="006E78FF"/>
    <w:rsid w:val="006E7954"/>
    <w:rsid w:val="006F0315"/>
    <w:rsid w:val="006F11A3"/>
    <w:rsid w:val="006F2E59"/>
    <w:rsid w:val="006F31CB"/>
    <w:rsid w:val="006F3220"/>
    <w:rsid w:val="006F437A"/>
    <w:rsid w:val="006F595A"/>
    <w:rsid w:val="006F7627"/>
    <w:rsid w:val="00700C2C"/>
    <w:rsid w:val="00700EF8"/>
    <w:rsid w:val="00703387"/>
    <w:rsid w:val="007067E1"/>
    <w:rsid w:val="007070D3"/>
    <w:rsid w:val="00707AE9"/>
    <w:rsid w:val="007101A0"/>
    <w:rsid w:val="00710FA2"/>
    <w:rsid w:val="007117C2"/>
    <w:rsid w:val="007123DF"/>
    <w:rsid w:val="00712B08"/>
    <w:rsid w:val="00712B44"/>
    <w:rsid w:val="00713154"/>
    <w:rsid w:val="007139BD"/>
    <w:rsid w:val="007153A6"/>
    <w:rsid w:val="00715A4B"/>
    <w:rsid w:val="00715CF2"/>
    <w:rsid w:val="00715DEE"/>
    <w:rsid w:val="007178FC"/>
    <w:rsid w:val="00725165"/>
    <w:rsid w:val="00725D4B"/>
    <w:rsid w:val="00725EC8"/>
    <w:rsid w:val="00726B7F"/>
    <w:rsid w:val="00726BF1"/>
    <w:rsid w:val="00727F15"/>
    <w:rsid w:val="00730371"/>
    <w:rsid w:val="00733FD1"/>
    <w:rsid w:val="0073688B"/>
    <w:rsid w:val="007370D4"/>
    <w:rsid w:val="0074053A"/>
    <w:rsid w:val="0074077B"/>
    <w:rsid w:val="00742FC5"/>
    <w:rsid w:val="007434FD"/>
    <w:rsid w:val="00743C86"/>
    <w:rsid w:val="00743DB0"/>
    <w:rsid w:val="0074421C"/>
    <w:rsid w:val="00744326"/>
    <w:rsid w:val="007448E7"/>
    <w:rsid w:val="00744A32"/>
    <w:rsid w:val="00744D88"/>
    <w:rsid w:val="00747A5A"/>
    <w:rsid w:val="00747C94"/>
    <w:rsid w:val="00750350"/>
    <w:rsid w:val="00751B9C"/>
    <w:rsid w:val="00753599"/>
    <w:rsid w:val="00753A2F"/>
    <w:rsid w:val="00753BB9"/>
    <w:rsid w:val="00755180"/>
    <w:rsid w:val="00755444"/>
    <w:rsid w:val="00756031"/>
    <w:rsid w:val="00756CF5"/>
    <w:rsid w:val="00757379"/>
    <w:rsid w:val="00760291"/>
    <w:rsid w:val="0076107D"/>
    <w:rsid w:val="00761CBE"/>
    <w:rsid w:val="00761E95"/>
    <w:rsid w:val="0076432A"/>
    <w:rsid w:val="0076529C"/>
    <w:rsid w:val="00765324"/>
    <w:rsid w:val="00766E81"/>
    <w:rsid w:val="00767F74"/>
    <w:rsid w:val="0077022F"/>
    <w:rsid w:val="00770765"/>
    <w:rsid w:val="007707F2"/>
    <w:rsid w:val="00771C3F"/>
    <w:rsid w:val="007738E1"/>
    <w:rsid w:val="0077433A"/>
    <w:rsid w:val="00774C4A"/>
    <w:rsid w:val="00775B31"/>
    <w:rsid w:val="00776A51"/>
    <w:rsid w:val="007807E7"/>
    <w:rsid w:val="00780E10"/>
    <w:rsid w:val="007818D8"/>
    <w:rsid w:val="00781DD7"/>
    <w:rsid w:val="00782B06"/>
    <w:rsid w:val="007836F5"/>
    <w:rsid w:val="00783D1F"/>
    <w:rsid w:val="00783FB1"/>
    <w:rsid w:val="00785313"/>
    <w:rsid w:val="00785868"/>
    <w:rsid w:val="0078615B"/>
    <w:rsid w:val="00786543"/>
    <w:rsid w:val="00786E78"/>
    <w:rsid w:val="00787277"/>
    <w:rsid w:val="0079216A"/>
    <w:rsid w:val="00792BEF"/>
    <w:rsid w:val="00793846"/>
    <w:rsid w:val="00794845"/>
    <w:rsid w:val="007948BB"/>
    <w:rsid w:val="007963FC"/>
    <w:rsid w:val="00796434"/>
    <w:rsid w:val="0079701C"/>
    <w:rsid w:val="00797705"/>
    <w:rsid w:val="007979E9"/>
    <w:rsid w:val="00797E39"/>
    <w:rsid w:val="007A0D6E"/>
    <w:rsid w:val="007A285F"/>
    <w:rsid w:val="007A2B70"/>
    <w:rsid w:val="007A3D06"/>
    <w:rsid w:val="007A4803"/>
    <w:rsid w:val="007A4A1E"/>
    <w:rsid w:val="007A4BB6"/>
    <w:rsid w:val="007A733F"/>
    <w:rsid w:val="007A74B2"/>
    <w:rsid w:val="007A78E9"/>
    <w:rsid w:val="007B1B84"/>
    <w:rsid w:val="007B325A"/>
    <w:rsid w:val="007B327F"/>
    <w:rsid w:val="007B4371"/>
    <w:rsid w:val="007B6B25"/>
    <w:rsid w:val="007C0270"/>
    <w:rsid w:val="007C08C4"/>
    <w:rsid w:val="007C0B15"/>
    <w:rsid w:val="007C45B0"/>
    <w:rsid w:val="007C4810"/>
    <w:rsid w:val="007C5404"/>
    <w:rsid w:val="007C57FE"/>
    <w:rsid w:val="007C737D"/>
    <w:rsid w:val="007D0249"/>
    <w:rsid w:val="007D0B79"/>
    <w:rsid w:val="007D2636"/>
    <w:rsid w:val="007D2A16"/>
    <w:rsid w:val="007D43D0"/>
    <w:rsid w:val="007D5582"/>
    <w:rsid w:val="007D60BE"/>
    <w:rsid w:val="007D6A3A"/>
    <w:rsid w:val="007E214F"/>
    <w:rsid w:val="007E57A0"/>
    <w:rsid w:val="007E5B4C"/>
    <w:rsid w:val="007E5D20"/>
    <w:rsid w:val="007E5DF4"/>
    <w:rsid w:val="007E66DE"/>
    <w:rsid w:val="007E69FA"/>
    <w:rsid w:val="007E72CA"/>
    <w:rsid w:val="007F35AE"/>
    <w:rsid w:val="007F53C3"/>
    <w:rsid w:val="007F73BD"/>
    <w:rsid w:val="0080015E"/>
    <w:rsid w:val="0080039D"/>
    <w:rsid w:val="00800FF0"/>
    <w:rsid w:val="008016FA"/>
    <w:rsid w:val="00801CF1"/>
    <w:rsid w:val="00802BFC"/>
    <w:rsid w:val="0080398E"/>
    <w:rsid w:val="00804000"/>
    <w:rsid w:val="008041EA"/>
    <w:rsid w:val="00804E6C"/>
    <w:rsid w:val="0080515A"/>
    <w:rsid w:val="0080534B"/>
    <w:rsid w:val="008066F4"/>
    <w:rsid w:val="00806B55"/>
    <w:rsid w:val="00810467"/>
    <w:rsid w:val="008104DD"/>
    <w:rsid w:val="008147FC"/>
    <w:rsid w:val="00814C3F"/>
    <w:rsid w:val="008158F8"/>
    <w:rsid w:val="00816266"/>
    <w:rsid w:val="008165AB"/>
    <w:rsid w:val="0081670C"/>
    <w:rsid w:val="00816CC5"/>
    <w:rsid w:val="00817393"/>
    <w:rsid w:val="008173BE"/>
    <w:rsid w:val="00817B26"/>
    <w:rsid w:val="0082026A"/>
    <w:rsid w:val="0082041D"/>
    <w:rsid w:val="0082062F"/>
    <w:rsid w:val="00820C59"/>
    <w:rsid w:val="00821656"/>
    <w:rsid w:val="00822165"/>
    <w:rsid w:val="0082356D"/>
    <w:rsid w:val="008239D4"/>
    <w:rsid w:val="00824BC4"/>
    <w:rsid w:val="008255B3"/>
    <w:rsid w:val="00825D21"/>
    <w:rsid w:val="0082717D"/>
    <w:rsid w:val="008302EA"/>
    <w:rsid w:val="0083172A"/>
    <w:rsid w:val="00831754"/>
    <w:rsid w:val="0083194B"/>
    <w:rsid w:val="00831DA2"/>
    <w:rsid w:val="0083234E"/>
    <w:rsid w:val="008329AA"/>
    <w:rsid w:val="00834755"/>
    <w:rsid w:val="008363F4"/>
    <w:rsid w:val="00836715"/>
    <w:rsid w:val="00840190"/>
    <w:rsid w:val="00840C9D"/>
    <w:rsid w:val="00840CC3"/>
    <w:rsid w:val="00842E7F"/>
    <w:rsid w:val="008432C9"/>
    <w:rsid w:val="00843373"/>
    <w:rsid w:val="00844B74"/>
    <w:rsid w:val="00845A39"/>
    <w:rsid w:val="00846088"/>
    <w:rsid w:val="00846D3C"/>
    <w:rsid w:val="00846D95"/>
    <w:rsid w:val="00847411"/>
    <w:rsid w:val="0084774B"/>
    <w:rsid w:val="00850061"/>
    <w:rsid w:val="00850660"/>
    <w:rsid w:val="00850704"/>
    <w:rsid w:val="00852D8E"/>
    <w:rsid w:val="00852F42"/>
    <w:rsid w:val="008547ED"/>
    <w:rsid w:val="008577A0"/>
    <w:rsid w:val="00857D15"/>
    <w:rsid w:val="00860BFC"/>
    <w:rsid w:val="00863BB8"/>
    <w:rsid w:val="008642A7"/>
    <w:rsid w:val="00865DE6"/>
    <w:rsid w:val="00867C91"/>
    <w:rsid w:val="008700DD"/>
    <w:rsid w:val="00870113"/>
    <w:rsid w:val="0087064D"/>
    <w:rsid w:val="008718F2"/>
    <w:rsid w:val="0087190A"/>
    <w:rsid w:val="00871FD5"/>
    <w:rsid w:val="00872FA0"/>
    <w:rsid w:val="00873AE9"/>
    <w:rsid w:val="00874814"/>
    <w:rsid w:val="00876579"/>
    <w:rsid w:val="00876A90"/>
    <w:rsid w:val="00877E03"/>
    <w:rsid w:val="00877FE0"/>
    <w:rsid w:val="008804C5"/>
    <w:rsid w:val="00880BBF"/>
    <w:rsid w:val="00880D9F"/>
    <w:rsid w:val="00881DB3"/>
    <w:rsid w:val="0088328D"/>
    <w:rsid w:val="008833E1"/>
    <w:rsid w:val="008837FA"/>
    <w:rsid w:val="0088464D"/>
    <w:rsid w:val="0088468A"/>
    <w:rsid w:val="00884DD2"/>
    <w:rsid w:val="008868C8"/>
    <w:rsid w:val="00887371"/>
    <w:rsid w:val="00890552"/>
    <w:rsid w:val="00892581"/>
    <w:rsid w:val="00892B1A"/>
    <w:rsid w:val="0089323F"/>
    <w:rsid w:val="008937FB"/>
    <w:rsid w:val="00894613"/>
    <w:rsid w:val="008956EE"/>
    <w:rsid w:val="00897D2C"/>
    <w:rsid w:val="00897EFB"/>
    <w:rsid w:val="008A1EC3"/>
    <w:rsid w:val="008A405F"/>
    <w:rsid w:val="008A599D"/>
    <w:rsid w:val="008A59B2"/>
    <w:rsid w:val="008A6671"/>
    <w:rsid w:val="008B0120"/>
    <w:rsid w:val="008B05DE"/>
    <w:rsid w:val="008B3E23"/>
    <w:rsid w:val="008B5D6E"/>
    <w:rsid w:val="008C29FC"/>
    <w:rsid w:val="008C2CB4"/>
    <w:rsid w:val="008C3618"/>
    <w:rsid w:val="008C4456"/>
    <w:rsid w:val="008C4632"/>
    <w:rsid w:val="008C483C"/>
    <w:rsid w:val="008C553F"/>
    <w:rsid w:val="008C64C7"/>
    <w:rsid w:val="008C7B53"/>
    <w:rsid w:val="008D0DB2"/>
    <w:rsid w:val="008D1D29"/>
    <w:rsid w:val="008D29EC"/>
    <w:rsid w:val="008D2B42"/>
    <w:rsid w:val="008D57A5"/>
    <w:rsid w:val="008D59AA"/>
    <w:rsid w:val="008D6283"/>
    <w:rsid w:val="008D6958"/>
    <w:rsid w:val="008D7ABC"/>
    <w:rsid w:val="008E10BA"/>
    <w:rsid w:val="008E2555"/>
    <w:rsid w:val="008E3327"/>
    <w:rsid w:val="008E433C"/>
    <w:rsid w:val="008E50BA"/>
    <w:rsid w:val="008E5136"/>
    <w:rsid w:val="008E63D3"/>
    <w:rsid w:val="008E7305"/>
    <w:rsid w:val="008F0A19"/>
    <w:rsid w:val="008F0AE5"/>
    <w:rsid w:val="008F1533"/>
    <w:rsid w:val="008F1791"/>
    <w:rsid w:val="008F19D4"/>
    <w:rsid w:val="008F35EC"/>
    <w:rsid w:val="008F3FA9"/>
    <w:rsid w:val="008F4EB5"/>
    <w:rsid w:val="008F53B2"/>
    <w:rsid w:val="008F60A5"/>
    <w:rsid w:val="008F7FEE"/>
    <w:rsid w:val="009008F1"/>
    <w:rsid w:val="009013B7"/>
    <w:rsid w:val="00901E4B"/>
    <w:rsid w:val="00902181"/>
    <w:rsid w:val="009064AE"/>
    <w:rsid w:val="00907234"/>
    <w:rsid w:val="009073B6"/>
    <w:rsid w:val="0090755B"/>
    <w:rsid w:val="0090795E"/>
    <w:rsid w:val="00912369"/>
    <w:rsid w:val="009127CF"/>
    <w:rsid w:val="00912AEC"/>
    <w:rsid w:val="0091342D"/>
    <w:rsid w:val="00916253"/>
    <w:rsid w:val="00917003"/>
    <w:rsid w:val="009174D0"/>
    <w:rsid w:val="009174FF"/>
    <w:rsid w:val="00917D2F"/>
    <w:rsid w:val="00917E2C"/>
    <w:rsid w:val="009201A2"/>
    <w:rsid w:val="00920807"/>
    <w:rsid w:val="009214D4"/>
    <w:rsid w:val="0092283C"/>
    <w:rsid w:val="009229AE"/>
    <w:rsid w:val="00922DC2"/>
    <w:rsid w:val="00923862"/>
    <w:rsid w:val="00924735"/>
    <w:rsid w:val="00925AA3"/>
    <w:rsid w:val="00925C44"/>
    <w:rsid w:val="00925F8F"/>
    <w:rsid w:val="009264A3"/>
    <w:rsid w:val="009300A4"/>
    <w:rsid w:val="00930610"/>
    <w:rsid w:val="00930D8F"/>
    <w:rsid w:val="00931A9E"/>
    <w:rsid w:val="009320F9"/>
    <w:rsid w:val="00932A9D"/>
    <w:rsid w:val="00933833"/>
    <w:rsid w:val="00933F9F"/>
    <w:rsid w:val="00934183"/>
    <w:rsid w:val="0093475B"/>
    <w:rsid w:val="009349B1"/>
    <w:rsid w:val="00935D44"/>
    <w:rsid w:val="00936901"/>
    <w:rsid w:val="00936C60"/>
    <w:rsid w:val="0093721B"/>
    <w:rsid w:val="00937417"/>
    <w:rsid w:val="0094019C"/>
    <w:rsid w:val="00940910"/>
    <w:rsid w:val="00940C03"/>
    <w:rsid w:val="00940D4C"/>
    <w:rsid w:val="00941FDF"/>
    <w:rsid w:val="00943BB8"/>
    <w:rsid w:val="00943BC5"/>
    <w:rsid w:val="009443F5"/>
    <w:rsid w:val="00944762"/>
    <w:rsid w:val="00944854"/>
    <w:rsid w:val="00944DF0"/>
    <w:rsid w:val="00945553"/>
    <w:rsid w:val="00945CD2"/>
    <w:rsid w:val="00946F55"/>
    <w:rsid w:val="009473DB"/>
    <w:rsid w:val="009514A7"/>
    <w:rsid w:val="00951772"/>
    <w:rsid w:val="00951AD9"/>
    <w:rsid w:val="00952722"/>
    <w:rsid w:val="009529DE"/>
    <w:rsid w:val="00953DDD"/>
    <w:rsid w:val="009569F1"/>
    <w:rsid w:val="00957512"/>
    <w:rsid w:val="009575EE"/>
    <w:rsid w:val="00960023"/>
    <w:rsid w:val="0096286E"/>
    <w:rsid w:val="00962ECC"/>
    <w:rsid w:val="00965604"/>
    <w:rsid w:val="009658C6"/>
    <w:rsid w:val="00965993"/>
    <w:rsid w:val="0096630F"/>
    <w:rsid w:val="00967BA1"/>
    <w:rsid w:val="009714A4"/>
    <w:rsid w:val="00971ED2"/>
    <w:rsid w:val="00972D94"/>
    <w:rsid w:val="0097531F"/>
    <w:rsid w:val="00975670"/>
    <w:rsid w:val="009770DB"/>
    <w:rsid w:val="00980E05"/>
    <w:rsid w:val="0098237F"/>
    <w:rsid w:val="009824D5"/>
    <w:rsid w:val="00982A32"/>
    <w:rsid w:val="00982AA3"/>
    <w:rsid w:val="00982CEE"/>
    <w:rsid w:val="00984151"/>
    <w:rsid w:val="00985A37"/>
    <w:rsid w:val="00986E40"/>
    <w:rsid w:val="00986FF6"/>
    <w:rsid w:val="00987355"/>
    <w:rsid w:val="00990093"/>
    <w:rsid w:val="00991DB4"/>
    <w:rsid w:val="00992193"/>
    <w:rsid w:val="009933CD"/>
    <w:rsid w:val="009934BF"/>
    <w:rsid w:val="009938C8"/>
    <w:rsid w:val="0099472B"/>
    <w:rsid w:val="009965A1"/>
    <w:rsid w:val="009A0068"/>
    <w:rsid w:val="009A0C7D"/>
    <w:rsid w:val="009A13E7"/>
    <w:rsid w:val="009A34A7"/>
    <w:rsid w:val="009A53CF"/>
    <w:rsid w:val="009A6E20"/>
    <w:rsid w:val="009A7CA8"/>
    <w:rsid w:val="009B10F4"/>
    <w:rsid w:val="009B25B7"/>
    <w:rsid w:val="009B5162"/>
    <w:rsid w:val="009B667D"/>
    <w:rsid w:val="009C033E"/>
    <w:rsid w:val="009C07E0"/>
    <w:rsid w:val="009C139D"/>
    <w:rsid w:val="009C43BB"/>
    <w:rsid w:val="009C622D"/>
    <w:rsid w:val="009C775D"/>
    <w:rsid w:val="009D0C6D"/>
    <w:rsid w:val="009D12E0"/>
    <w:rsid w:val="009D175B"/>
    <w:rsid w:val="009D1C1C"/>
    <w:rsid w:val="009D1DFF"/>
    <w:rsid w:val="009D24DB"/>
    <w:rsid w:val="009D27D2"/>
    <w:rsid w:val="009D2B74"/>
    <w:rsid w:val="009D3FE3"/>
    <w:rsid w:val="009D484B"/>
    <w:rsid w:val="009D49D5"/>
    <w:rsid w:val="009D63D7"/>
    <w:rsid w:val="009D7338"/>
    <w:rsid w:val="009D7EDE"/>
    <w:rsid w:val="009D7F6E"/>
    <w:rsid w:val="009E1C18"/>
    <w:rsid w:val="009E1F77"/>
    <w:rsid w:val="009E2F0E"/>
    <w:rsid w:val="009E42CF"/>
    <w:rsid w:val="009E4617"/>
    <w:rsid w:val="009E6937"/>
    <w:rsid w:val="009E6CDF"/>
    <w:rsid w:val="009E7F9D"/>
    <w:rsid w:val="009F1F4A"/>
    <w:rsid w:val="009F2AB3"/>
    <w:rsid w:val="009F3042"/>
    <w:rsid w:val="009F364E"/>
    <w:rsid w:val="009F3A54"/>
    <w:rsid w:val="009F4711"/>
    <w:rsid w:val="009F4B60"/>
    <w:rsid w:val="009F6ABA"/>
    <w:rsid w:val="009F6C9B"/>
    <w:rsid w:val="00A019C3"/>
    <w:rsid w:val="00A01E8B"/>
    <w:rsid w:val="00A02F6C"/>
    <w:rsid w:val="00A03761"/>
    <w:rsid w:val="00A03B1E"/>
    <w:rsid w:val="00A041D2"/>
    <w:rsid w:val="00A04D0C"/>
    <w:rsid w:val="00A05192"/>
    <w:rsid w:val="00A05D52"/>
    <w:rsid w:val="00A072EF"/>
    <w:rsid w:val="00A108E7"/>
    <w:rsid w:val="00A1098B"/>
    <w:rsid w:val="00A10E67"/>
    <w:rsid w:val="00A11063"/>
    <w:rsid w:val="00A124E5"/>
    <w:rsid w:val="00A12D33"/>
    <w:rsid w:val="00A15144"/>
    <w:rsid w:val="00A15622"/>
    <w:rsid w:val="00A218C1"/>
    <w:rsid w:val="00A22C34"/>
    <w:rsid w:val="00A24399"/>
    <w:rsid w:val="00A268ED"/>
    <w:rsid w:val="00A276BA"/>
    <w:rsid w:val="00A27D5D"/>
    <w:rsid w:val="00A31AF3"/>
    <w:rsid w:val="00A325BC"/>
    <w:rsid w:val="00A34BD8"/>
    <w:rsid w:val="00A35F5E"/>
    <w:rsid w:val="00A366F1"/>
    <w:rsid w:val="00A36CC6"/>
    <w:rsid w:val="00A36EDD"/>
    <w:rsid w:val="00A40352"/>
    <w:rsid w:val="00A40423"/>
    <w:rsid w:val="00A4175F"/>
    <w:rsid w:val="00A417EE"/>
    <w:rsid w:val="00A434EA"/>
    <w:rsid w:val="00A44863"/>
    <w:rsid w:val="00A45992"/>
    <w:rsid w:val="00A46812"/>
    <w:rsid w:val="00A50321"/>
    <w:rsid w:val="00A50B84"/>
    <w:rsid w:val="00A512F4"/>
    <w:rsid w:val="00A51F45"/>
    <w:rsid w:val="00A527EA"/>
    <w:rsid w:val="00A5320A"/>
    <w:rsid w:val="00A538EE"/>
    <w:rsid w:val="00A53926"/>
    <w:rsid w:val="00A540ED"/>
    <w:rsid w:val="00A54F72"/>
    <w:rsid w:val="00A55808"/>
    <w:rsid w:val="00A561D8"/>
    <w:rsid w:val="00A56877"/>
    <w:rsid w:val="00A56C05"/>
    <w:rsid w:val="00A57BA8"/>
    <w:rsid w:val="00A61010"/>
    <w:rsid w:val="00A612A7"/>
    <w:rsid w:val="00A612F5"/>
    <w:rsid w:val="00A64AD3"/>
    <w:rsid w:val="00A65612"/>
    <w:rsid w:val="00A65E81"/>
    <w:rsid w:val="00A6659B"/>
    <w:rsid w:val="00A66B8D"/>
    <w:rsid w:val="00A7086D"/>
    <w:rsid w:val="00A716D4"/>
    <w:rsid w:val="00A717B7"/>
    <w:rsid w:val="00A73373"/>
    <w:rsid w:val="00A73678"/>
    <w:rsid w:val="00A743C5"/>
    <w:rsid w:val="00A74670"/>
    <w:rsid w:val="00A7497C"/>
    <w:rsid w:val="00A7505B"/>
    <w:rsid w:val="00A75142"/>
    <w:rsid w:val="00A75198"/>
    <w:rsid w:val="00A75479"/>
    <w:rsid w:val="00A76B35"/>
    <w:rsid w:val="00A76D65"/>
    <w:rsid w:val="00A80598"/>
    <w:rsid w:val="00A80AD6"/>
    <w:rsid w:val="00A8109A"/>
    <w:rsid w:val="00A81598"/>
    <w:rsid w:val="00A820A6"/>
    <w:rsid w:val="00A821DC"/>
    <w:rsid w:val="00A82227"/>
    <w:rsid w:val="00A8326A"/>
    <w:rsid w:val="00A84814"/>
    <w:rsid w:val="00A85892"/>
    <w:rsid w:val="00A875BC"/>
    <w:rsid w:val="00A9039C"/>
    <w:rsid w:val="00A92D48"/>
    <w:rsid w:val="00A95A67"/>
    <w:rsid w:val="00A95F6A"/>
    <w:rsid w:val="00AA1412"/>
    <w:rsid w:val="00AA1BBF"/>
    <w:rsid w:val="00AA2D47"/>
    <w:rsid w:val="00AA32D8"/>
    <w:rsid w:val="00AA33D8"/>
    <w:rsid w:val="00AA4678"/>
    <w:rsid w:val="00AA47B5"/>
    <w:rsid w:val="00AA6FB2"/>
    <w:rsid w:val="00AA70A4"/>
    <w:rsid w:val="00AB0ECD"/>
    <w:rsid w:val="00AB1326"/>
    <w:rsid w:val="00AB1D03"/>
    <w:rsid w:val="00AB31B6"/>
    <w:rsid w:val="00AB35C0"/>
    <w:rsid w:val="00AB397B"/>
    <w:rsid w:val="00AB56EA"/>
    <w:rsid w:val="00AB76C8"/>
    <w:rsid w:val="00AB7A2D"/>
    <w:rsid w:val="00AC0719"/>
    <w:rsid w:val="00AC19B9"/>
    <w:rsid w:val="00AC1CF7"/>
    <w:rsid w:val="00AC306E"/>
    <w:rsid w:val="00AC324E"/>
    <w:rsid w:val="00AC355D"/>
    <w:rsid w:val="00AC5721"/>
    <w:rsid w:val="00AC606C"/>
    <w:rsid w:val="00AC607A"/>
    <w:rsid w:val="00AC72A2"/>
    <w:rsid w:val="00AD08F0"/>
    <w:rsid w:val="00AD10E8"/>
    <w:rsid w:val="00AD2116"/>
    <w:rsid w:val="00AD5098"/>
    <w:rsid w:val="00AD794F"/>
    <w:rsid w:val="00AD7E28"/>
    <w:rsid w:val="00AE0046"/>
    <w:rsid w:val="00AE30A2"/>
    <w:rsid w:val="00AE3579"/>
    <w:rsid w:val="00AE72D6"/>
    <w:rsid w:val="00AF0B85"/>
    <w:rsid w:val="00AF11E1"/>
    <w:rsid w:val="00AF1BB6"/>
    <w:rsid w:val="00AF1C74"/>
    <w:rsid w:val="00AF22D1"/>
    <w:rsid w:val="00AF25CA"/>
    <w:rsid w:val="00AF3EDC"/>
    <w:rsid w:val="00AF49D4"/>
    <w:rsid w:val="00AF5FD9"/>
    <w:rsid w:val="00AF697C"/>
    <w:rsid w:val="00AF795E"/>
    <w:rsid w:val="00B02326"/>
    <w:rsid w:val="00B030C4"/>
    <w:rsid w:val="00B033BF"/>
    <w:rsid w:val="00B034E9"/>
    <w:rsid w:val="00B03A46"/>
    <w:rsid w:val="00B03E81"/>
    <w:rsid w:val="00B047F3"/>
    <w:rsid w:val="00B05E69"/>
    <w:rsid w:val="00B06CF2"/>
    <w:rsid w:val="00B06D00"/>
    <w:rsid w:val="00B10D5A"/>
    <w:rsid w:val="00B111BD"/>
    <w:rsid w:val="00B125BF"/>
    <w:rsid w:val="00B1318B"/>
    <w:rsid w:val="00B13390"/>
    <w:rsid w:val="00B137B4"/>
    <w:rsid w:val="00B15CAD"/>
    <w:rsid w:val="00B15F4D"/>
    <w:rsid w:val="00B171CF"/>
    <w:rsid w:val="00B17625"/>
    <w:rsid w:val="00B2086A"/>
    <w:rsid w:val="00B21464"/>
    <w:rsid w:val="00B21537"/>
    <w:rsid w:val="00B22462"/>
    <w:rsid w:val="00B22F16"/>
    <w:rsid w:val="00B23CA3"/>
    <w:rsid w:val="00B242A6"/>
    <w:rsid w:val="00B2490D"/>
    <w:rsid w:val="00B24BA2"/>
    <w:rsid w:val="00B253FD"/>
    <w:rsid w:val="00B25604"/>
    <w:rsid w:val="00B266B0"/>
    <w:rsid w:val="00B26F26"/>
    <w:rsid w:val="00B272F0"/>
    <w:rsid w:val="00B27A5A"/>
    <w:rsid w:val="00B3208B"/>
    <w:rsid w:val="00B33282"/>
    <w:rsid w:val="00B33E40"/>
    <w:rsid w:val="00B36583"/>
    <w:rsid w:val="00B373C2"/>
    <w:rsid w:val="00B37B60"/>
    <w:rsid w:val="00B37B90"/>
    <w:rsid w:val="00B37BCC"/>
    <w:rsid w:val="00B37DAD"/>
    <w:rsid w:val="00B37F08"/>
    <w:rsid w:val="00B407C6"/>
    <w:rsid w:val="00B40B87"/>
    <w:rsid w:val="00B419B0"/>
    <w:rsid w:val="00B41D0F"/>
    <w:rsid w:val="00B426E0"/>
    <w:rsid w:val="00B42FDC"/>
    <w:rsid w:val="00B43439"/>
    <w:rsid w:val="00B44C7F"/>
    <w:rsid w:val="00B501D9"/>
    <w:rsid w:val="00B50B77"/>
    <w:rsid w:val="00B5102A"/>
    <w:rsid w:val="00B514BB"/>
    <w:rsid w:val="00B52088"/>
    <w:rsid w:val="00B540E2"/>
    <w:rsid w:val="00B552DA"/>
    <w:rsid w:val="00B55FF5"/>
    <w:rsid w:val="00B5780F"/>
    <w:rsid w:val="00B605BC"/>
    <w:rsid w:val="00B60BE3"/>
    <w:rsid w:val="00B61218"/>
    <w:rsid w:val="00B61AB0"/>
    <w:rsid w:val="00B63239"/>
    <w:rsid w:val="00B63533"/>
    <w:rsid w:val="00B63F44"/>
    <w:rsid w:val="00B643A4"/>
    <w:rsid w:val="00B652E6"/>
    <w:rsid w:val="00B65A50"/>
    <w:rsid w:val="00B67139"/>
    <w:rsid w:val="00B671A7"/>
    <w:rsid w:val="00B679D3"/>
    <w:rsid w:val="00B70B9E"/>
    <w:rsid w:val="00B72119"/>
    <w:rsid w:val="00B72B3B"/>
    <w:rsid w:val="00B72ED2"/>
    <w:rsid w:val="00B735DC"/>
    <w:rsid w:val="00B736E6"/>
    <w:rsid w:val="00B7381C"/>
    <w:rsid w:val="00B73974"/>
    <w:rsid w:val="00B755A1"/>
    <w:rsid w:val="00B80CD2"/>
    <w:rsid w:val="00B812F2"/>
    <w:rsid w:val="00B85151"/>
    <w:rsid w:val="00B8579A"/>
    <w:rsid w:val="00B877CE"/>
    <w:rsid w:val="00B90647"/>
    <w:rsid w:val="00B90E94"/>
    <w:rsid w:val="00B920E4"/>
    <w:rsid w:val="00B932D5"/>
    <w:rsid w:val="00B9429D"/>
    <w:rsid w:val="00B94467"/>
    <w:rsid w:val="00B95381"/>
    <w:rsid w:val="00B95902"/>
    <w:rsid w:val="00B96348"/>
    <w:rsid w:val="00B97891"/>
    <w:rsid w:val="00BA0BD7"/>
    <w:rsid w:val="00BA2CFD"/>
    <w:rsid w:val="00BA37CC"/>
    <w:rsid w:val="00BA393C"/>
    <w:rsid w:val="00BA3B4F"/>
    <w:rsid w:val="00BA42B7"/>
    <w:rsid w:val="00BA5574"/>
    <w:rsid w:val="00BA5920"/>
    <w:rsid w:val="00BA6371"/>
    <w:rsid w:val="00BA6AF0"/>
    <w:rsid w:val="00BA6FAD"/>
    <w:rsid w:val="00BB1A2E"/>
    <w:rsid w:val="00BB207C"/>
    <w:rsid w:val="00BB2357"/>
    <w:rsid w:val="00BB3DC0"/>
    <w:rsid w:val="00BB413B"/>
    <w:rsid w:val="00BB41EC"/>
    <w:rsid w:val="00BB513D"/>
    <w:rsid w:val="00BB5155"/>
    <w:rsid w:val="00BB6EB1"/>
    <w:rsid w:val="00BB7204"/>
    <w:rsid w:val="00BB74F8"/>
    <w:rsid w:val="00BC1C9A"/>
    <w:rsid w:val="00BC4B93"/>
    <w:rsid w:val="00BC4C87"/>
    <w:rsid w:val="00BC6B56"/>
    <w:rsid w:val="00BC6B72"/>
    <w:rsid w:val="00BC6DB4"/>
    <w:rsid w:val="00BC769F"/>
    <w:rsid w:val="00BC7D27"/>
    <w:rsid w:val="00BC7FF9"/>
    <w:rsid w:val="00BD076A"/>
    <w:rsid w:val="00BD26B7"/>
    <w:rsid w:val="00BD2CB0"/>
    <w:rsid w:val="00BD4044"/>
    <w:rsid w:val="00BD4651"/>
    <w:rsid w:val="00BD4C4E"/>
    <w:rsid w:val="00BD5D58"/>
    <w:rsid w:val="00BD6E2D"/>
    <w:rsid w:val="00BE344E"/>
    <w:rsid w:val="00BE3BCC"/>
    <w:rsid w:val="00BE41BA"/>
    <w:rsid w:val="00BE6DB8"/>
    <w:rsid w:val="00BE7CF7"/>
    <w:rsid w:val="00BE7E7C"/>
    <w:rsid w:val="00BF10EB"/>
    <w:rsid w:val="00BF1602"/>
    <w:rsid w:val="00BF2D13"/>
    <w:rsid w:val="00BF3609"/>
    <w:rsid w:val="00BF37A5"/>
    <w:rsid w:val="00BF3B83"/>
    <w:rsid w:val="00BF3D4F"/>
    <w:rsid w:val="00BF535C"/>
    <w:rsid w:val="00BF66C8"/>
    <w:rsid w:val="00BF7C70"/>
    <w:rsid w:val="00C00698"/>
    <w:rsid w:val="00C00FF6"/>
    <w:rsid w:val="00C0263E"/>
    <w:rsid w:val="00C02A46"/>
    <w:rsid w:val="00C02A7B"/>
    <w:rsid w:val="00C03C8E"/>
    <w:rsid w:val="00C05B39"/>
    <w:rsid w:val="00C05D17"/>
    <w:rsid w:val="00C0643D"/>
    <w:rsid w:val="00C06E77"/>
    <w:rsid w:val="00C07ECF"/>
    <w:rsid w:val="00C1023C"/>
    <w:rsid w:val="00C110C8"/>
    <w:rsid w:val="00C11792"/>
    <w:rsid w:val="00C11DDC"/>
    <w:rsid w:val="00C12241"/>
    <w:rsid w:val="00C12DF6"/>
    <w:rsid w:val="00C132F2"/>
    <w:rsid w:val="00C143AD"/>
    <w:rsid w:val="00C14EB4"/>
    <w:rsid w:val="00C154C8"/>
    <w:rsid w:val="00C16136"/>
    <w:rsid w:val="00C16615"/>
    <w:rsid w:val="00C16EDE"/>
    <w:rsid w:val="00C1709C"/>
    <w:rsid w:val="00C20D5A"/>
    <w:rsid w:val="00C22115"/>
    <w:rsid w:val="00C24743"/>
    <w:rsid w:val="00C263A8"/>
    <w:rsid w:val="00C272CE"/>
    <w:rsid w:val="00C30DEE"/>
    <w:rsid w:val="00C3205B"/>
    <w:rsid w:val="00C323B5"/>
    <w:rsid w:val="00C34EB3"/>
    <w:rsid w:val="00C35898"/>
    <w:rsid w:val="00C35961"/>
    <w:rsid w:val="00C37FCE"/>
    <w:rsid w:val="00C4140A"/>
    <w:rsid w:val="00C42C08"/>
    <w:rsid w:val="00C46D7E"/>
    <w:rsid w:val="00C52008"/>
    <w:rsid w:val="00C52DF7"/>
    <w:rsid w:val="00C537CA"/>
    <w:rsid w:val="00C55BD6"/>
    <w:rsid w:val="00C56D5C"/>
    <w:rsid w:val="00C625C8"/>
    <w:rsid w:val="00C66F59"/>
    <w:rsid w:val="00C67330"/>
    <w:rsid w:val="00C67B80"/>
    <w:rsid w:val="00C705A5"/>
    <w:rsid w:val="00C71C0F"/>
    <w:rsid w:val="00C72B5E"/>
    <w:rsid w:val="00C74B59"/>
    <w:rsid w:val="00C74E6F"/>
    <w:rsid w:val="00C76A22"/>
    <w:rsid w:val="00C77836"/>
    <w:rsid w:val="00C8146A"/>
    <w:rsid w:val="00C815F0"/>
    <w:rsid w:val="00C81AD4"/>
    <w:rsid w:val="00C832A5"/>
    <w:rsid w:val="00C8424B"/>
    <w:rsid w:val="00C84EB8"/>
    <w:rsid w:val="00C853DA"/>
    <w:rsid w:val="00C85D26"/>
    <w:rsid w:val="00C85FBB"/>
    <w:rsid w:val="00C874EC"/>
    <w:rsid w:val="00C91000"/>
    <w:rsid w:val="00C912C8"/>
    <w:rsid w:val="00C92110"/>
    <w:rsid w:val="00C92E38"/>
    <w:rsid w:val="00C92EFE"/>
    <w:rsid w:val="00C93008"/>
    <w:rsid w:val="00C930F6"/>
    <w:rsid w:val="00C9363B"/>
    <w:rsid w:val="00C93982"/>
    <w:rsid w:val="00C94410"/>
    <w:rsid w:val="00C944E6"/>
    <w:rsid w:val="00C961C0"/>
    <w:rsid w:val="00C96D5E"/>
    <w:rsid w:val="00CA043F"/>
    <w:rsid w:val="00CA07D5"/>
    <w:rsid w:val="00CA0836"/>
    <w:rsid w:val="00CA2681"/>
    <w:rsid w:val="00CA2E92"/>
    <w:rsid w:val="00CA33BC"/>
    <w:rsid w:val="00CA3415"/>
    <w:rsid w:val="00CA6284"/>
    <w:rsid w:val="00CB000A"/>
    <w:rsid w:val="00CB03C1"/>
    <w:rsid w:val="00CB05B4"/>
    <w:rsid w:val="00CB119D"/>
    <w:rsid w:val="00CB5164"/>
    <w:rsid w:val="00CB5698"/>
    <w:rsid w:val="00CB5F7D"/>
    <w:rsid w:val="00CB763B"/>
    <w:rsid w:val="00CC11BE"/>
    <w:rsid w:val="00CC1F1D"/>
    <w:rsid w:val="00CC200B"/>
    <w:rsid w:val="00CC22F9"/>
    <w:rsid w:val="00CC3279"/>
    <w:rsid w:val="00CC36B2"/>
    <w:rsid w:val="00CC4ACF"/>
    <w:rsid w:val="00CC5579"/>
    <w:rsid w:val="00CC713B"/>
    <w:rsid w:val="00CC71A4"/>
    <w:rsid w:val="00CC776B"/>
    <w:rsid w:val="00CC7C98"/>
    <w:rsid w:val="00CD0C85"/>
    <w:rsid w:val="00CD0F07"/>
    <w:rsid w:val="00CD1840"/>
    <w:rsid w:val="00CD2763"/>
    <w:rsid w:val="00CD29CD"/>
    <w:rsid w:val="00CD2EE3"/>
    <w:rsid w:val="00CD4064"/>
    <w:rsid w:val="00CD5B45"/>
    <w:rsid w:val="00CD5F15"/>
    <w:rsid w:val="00CD62AC"/>
    <w:rsid w:val="00CD6DAC"/>
    <w:rsid w:val="00CD71BA"/>
    <w:rsid w:val="00CD7E15"/>
    <w:rsid w:val="00CD7FE6"/>
    <w:rsid w:val="00CE04DC"/>
    <w:rsid w:val="00CE0FA2"/>
    <w:rsid w:val="00CE1485"/>
    <w:rsid w:val="00CE1BE3"/>
    <w:rsid w:val="00CE2431"/>
    <w:rsid w:val="00CE26DD"/>
    <w:rsid w:val="00CE55E4"/>
    <w:rsid w:val="00CE5665"/>
    <w:rsid w:val="00CE5A10"/>
    <w:rsid w:val="00CE5DE2"/>
    <w:rsid w:val="00CE5F64"/>
    <w:rsid w:val="00CF5139"/>
    <w:rsid w:val="00CF53B9"/>
    <w:rsid w:val="00CF552D"/>
    <w:rsid w:val="00CF617B"/>
    <w:rsid w:val="00CF66FC"/>
    <w:rsid w:val="00D03E31"/>
    <w:rsid w:val="00D04DC9"/>
    <w:rsid w:val="00D06311"/>
    <w:rsid w:val="00D068C8"/>
    <w:rsid w:val="00D06ABF"/>
    <w:rsid w:val="00D07B1B"/>
    <w:rsid w:val="00D124D3"/>
    <w:rsid w:val="00D12698"/>
    <w:rsid w:val="00D12812"/>
    <w:rsid w:val="00D12C9C"/>
    <w:rsid w:val="00D1301C"/>
    <w:rsid w:val="00D13064"/>
    <w:rsid w:val="00D13314"/>
    <w:rsid w:val="00D133B3"/>
    <w:rsid w:val="00D14331"/>
    <w:rsid w:val="00D17C9F"/>
    <w:rsid w:val="00D22DF1"/>
    <w:rsid w:val="00D25958"/>
    <w:rsid w:val="00D26300"/>
    <w:rsid w:val="00D269E5"/>
    <w:rsid w:val="00D26AB9"/>
    <w:rsid w:val="00D273E8"/>
    <w:rsid w:val="00D30AC4"/>
    <w:rsid w:val="00D31762"/>
    <w:rsid w:val="00D31CA5"/>
    <w:rsid w:val="00D32320"/>
    <w:rsid w:val="00D325B3"/>
    <w:rsid w:val="00D33F83"/>
    <w:rsid w:val="00D3724F"/>
    <w:rsid w:val="00D37B85"/>
    <w:rsid w:val="00D37CAE"/>
    <w:rsid w:val="00D404D0"/>
    <w:rsid w:val="00D42365"/>
    <w:rsid w:val="00D42C5B"/>
    <w:rsid w:val="00D4376F"/>
    <w:rsid w:val="00D46929"/>
    <w:rsid w:val="00D47BD1"/>
    <w:rsid w:val="00D50327"/>
    <w:rsid w:val="00D5091B"/>
    <w:rsid w:val="00D51CCD"/>
    <w:rsid w:val="00D51CE5"/>
    <w:rsid w:val="00D51E24"/>
    <w:rsid w:val="00D55EF3"/>
    <w:rsid w:val="00D57BE2"/>
    <w:rsid w:val="00D57FE7"/>
    <w:rsid w:val="00D6140C"/>
    <w:rsid w:val="00D6457D"/>
    <w:rsid w:val="00D651A5"/>
    <w:rsid w:val="00D65862"/>
    <w:rsid w:val="00D66159"/>
    <w:rsid w:val="00D67CA2"/>
    <w:rsid w:val="00D72ECE"/>
    <w:rsid w:val="00D74A26"/>
    <w:rsid w:val="00D7577B"/>
    <w:rsid w:val="00D77488"/>
    <w:rsid w:val="00D80137"/>
    <w:rsid w:val="00D803DD"/>
    <w:rsid w:val="00D80B1E"/>
    <w:rsid w:val="00D82EC1"/>
    <w:rsid w:val="00D8337E"/>
    <w:rsid w:val="00D84A1F"/>
    <w:rsid w:val="00D867B5"/>
    <w:rsid w:val="00D873CE"/>
    <w:rsid w:val="00D91B7C"/>
    <w:rsid w:val="00D92673"/>
    <w:rsid w:val="00D940C9"/>
    <w:rsid w:val="00D94E5A"/>
    <w:rsid w:val="00D950DD"/>
    <w:rsid w:val="00D969CD"/>
    <w:rsid w:val="00D97779"/>
    <w:rsid w:val="00DA1348"/>
    <w:rsid w:val="00DA18FA"/>
    <w:rsid w:val="00DA192C"/>
    <w:rsid w:val="00DA2E3A"/>
    <w:rsid w:val="00DA2FCA"/>
    <w:rsid w:val="00DA3065"/>
    <w:rsid w:val="00DA4D9B"/>
    <w:rsid w:val="00DA4E0B"/>
    <w:rsid w:val="00DB0A19"/>
    <w:rsid w:val="00DB50EE"/>
    <w:rsid w:val="00DB6494"/>
    <w:rsid w:val="00DB69B3"/>
    <w:rsid w:val="00DB71A5"/>
    <w:rsid w:val="00DC06F3"/>
    <w:rsid w:val="00DC1BD9"/>
    <w:rsid w:val="00DC28DD"/>
    <w:rsid w:val="00DC32AF"/>
    <w:rsid w:val="00DC34A3"/>
    <w:rsid w:val="00DC5248"/>
    <w:rsid w:val="00DC5EDD"/>
    <w:rsid w:val="00DC7A26"/>
    <w:rsid w:val="00DD1152"/>
    <w:rsid w:val="00DD1261"/>
    <w:rsid w:val="00DD1888"/>
    <w:rsid w:val="00DD22D2"/>
    <w:rsid w:val="00DD2942"/>
    <w:rsid w:val="00DD7A58"/>
    <w:rsid w:val="00DE154D"/>
    <w:rsid w:val="00DE202B"/>
    <w:rsid w:val="00DE5089"/>
    <w:rsid w:val="00DE5BEA"/>
    <w:rsid w:val="00DE5D69"/>
    <w:rsid w:val="00DE60A5"/>
    <w:rsid w:val="00DE753E"/>
    <w:rsid w:val="00DF0529"/>
    <w:rsid w:val="00DF11D0"/>
    <w:rsid w:val="00DF1E9B"/>
    <w:rsid w:val="00DF306A"/>
    <w:rsid w:val="00DF458C"/>
    <w:rsid w:val="00DF46C8"/>
    <w:rsid w:val="00DF4A41"/>
    <w:rsid w:val="00DF6F4E"/>
    <w:rsid w:val="00E005FE"/>
    <w:rsid w:val="00E00626"/>
    <w:rsid w:val="00E00A0A"/>
    <w:rsid w:val="00E01231"/>
    <w:rsid w:val="00E0203D"/>
    <w:rsid w:val="00E02B10"/>
    <w:rsid w:val="00E02E37"/>
    <w:rsid w:val="00E03CF8"/>
    <w:rsid w:val="00E03F55"/>
    <w:rsid w:val="00E062E7"/>
    <w:rsid w:val="00E0701E"/>
    <w:rsid w:val="00E1033B"/>
    <w:rsid w:val="00E10C98"/>
    <w:rsid w:val="00E11F09"/>
    <w:rsid w:val="00E12F54"/>
    <w:rsid w:val="00E142C5"/>
    <w:rsid w:val="00E14C50"/>
    <w:rsid w:val="00E16F3A"/>
    <w:rsid w:val="00E174FB"/>
    <w:rsid w:val="00E17815"/>
    <w:rsid w:val="00E2130E"/>
    <w:rsid w:val="00E21972"/>
    <w:rsid w:val="00E21B11"/>
    <w:rsid w:val="00E22781"/>
    <w:rsid w:val="00E22DBD"/>
    <w:rsid w:val="00E230B1"/>
    <w:rsid w:val="00E237BE"/>
    <w:rsid w:val="00E24319"/>
    <w:rsid w:val="00E2638F"/>
    <w:rsid w:val="00E27A5C"/>
    <w:rsid w:val="00E32F22"/>
    <w:rsid w:val="00E34C33"/>
    <w:rsid w:val="00E34D0C"/>
    <w:rsid w:val="00E3516D"/>
    <w:rsid w:val="00E36FF4"/>
    <w:rsid w:val="00E37560"/>
    <w:rsid w:val="00E418F9"/>
    <w:rsid w:val="00E435F3"/>
    <w:rsid w:val="00E44B8A"/>
    <w:rsid w:val="00E45353"/>
    <w:rsid w:val="00E46792"/>
    <w:rsid w:val="00E50258"/>
    <w:rsid w:val="00E53056"/>
    <w:rsid w:val="00E53ADA"/>
    <w:rsid w:val="00E53E15"/>
    <w:rsid w:val="00E54AF6"/>
    <w:rsid w:val="00E55144"/>
    <w:rsid w:val="00E56A89"/>
    <w:rsid w:val="00E56DC2"/>
    <w:rsid w:val="00E57DF1"/>
    <w:rsid w:val="00E57ED3"/>
    <w:rsid w:val="00E60400"/>
    <w:rsid w:val="00E61C7D"/>
    <w:rsid w:val="00E6252E"/>
    <w:rsid w:val="00E62E02"/>
    <w:rsid w:val="00E6317E"/>
    <w:rsid w:val="00E7044D"/>
    <w:rsid w:val="00E72B4F"/>
    <w:rsid w:val="00E7334E"/>
    <w:rsid w:val="00E73729"/>
    <w:rsid w:val="00E74C71"/>
    <w:rsid w:val="00E77769"/>
    <w:rsid w:val="00E806AE"/>
    <w:rsid w:val="00E834AF"/>
    <w:rsid w:val="00E8577B"/>
    <w:rsid w:val="00E93D70"/>
    <w:rsid w:val="00E95719"/>
    <w:rsid w:val="00E95F29"/>
    <w:rsid w:val="00E97427"/>
    <w:rsid w:val="00EA00D9"/>
    <w:rsid w:val="00EA08B2"/>
    <w:rsid w:val="00EA26DE"/>
    <w:rsid w:val="00EA2DB8"/>
    <w:rsid w:val="00EA3E3A"/>
    <w:rsid w:val="00EA5363"/>
    <w:rsid w:val="00EA5D88"/>
    <w:rsid w:val="00EA731B"/>
    <w:rsid w:val="00EB0936"/>
    <w:rsid w:val="00EB1A5F"/>
    <w:rsid w:val="00EB2260"/>
    <w:rsid w:val="00EB3AD0"/>
    <w:rsid w:val="00EB507A"/>
    <w:rsid w:val="00EB65D7"/>
    <w:rsid w:val="00EB7A7E"/>
    <w:rsid w:val="00EC0D5B"/>
    <w:rsid w:val="00EC23A3"/>
    <w:rsid w:val="00EC2D3E"/>
    <w:rsid w:val="00EC3B54"/>
    <w:rsid w:val="00EC4327"/>
    <w:rsid w:val="00EC521A"/>
    <w:rsid w:val="00EC56CB"/>
    <w:rsid w:val="00EC66BD"/>
    <w:rsid w:val="00EC6C14"/>
    <w:rsid w:val="00EC7402"/>
    <w:rsid w:val="00EC7BCE"/>
    <w:rsid w:val="00EC7E02"/>
    <w:rsid w:val="00ED0258"/>
    <w:rsid w:val="00ED044F"/>
    <w:rsid w:val="00ED0862"/>
    <w:rsid w:val="00ED1196"/>
    <w:rsid w:val="00ED18CF"/>
    <w:rsid w:val="00ED286C"/>
    <w:rsid w:val="00ED2B72"/>
    <w:rsid w:val="00ED30DA"/>
    <w:rsid w:val="00ED49BA"/>
    <w:rsid w:val="00ED5194"/>
    <w:rsid w:val="00ED5710"/>
    <w:rsid w:val="00ED5776"/>
    <w:rsid w:val="00ED69D3"/>
    <w:rsid w:val="00ED76F1"/>
    <w:rsid w:val="00ED7ECB"/>
    <w:rsid w:val="00EE000E"/>
    <w:rsid w:val="00EE22DB"/>
    <w:rsid w:val="00EE36A5"/>
    <w:rsid w:val="00EE5527"/>
    <w:rsid w:val="00EE6AAA"/>
    <w:rsid w:val="00EF0613"/>
    <w:rsid w:val="00EF0945"/>
    <w:rsid w:val="00EF274F"/>
    <w:rsid w:val="00EF2A97"/>
    <w:rsid w:val="00EF3887"/>
    <w:rsid w:val="00EF6908"/>
    <w:rsid w:val="00F01370"/>
    <w:rsid w:val="00F020BF"/>
    <w:rsid w:val="00F02CA4"/>
    <w:rsid w:val="00F02E88"/>
    <w:rsid w:val="00F03904"/>
    <w:rsid w:val="00F0459C"/>
    <w:rsid w:val="00F04C9F"/>
    <w:rsid w:val="00F0582D"/>
    <w:rsid w:val="00F10FB4"/>
    <w:rsid w:val="00F11385"/>
    <w:rsid w:val="00F118A5"/>
    <w:rsid w:val="00F12B29"/>
    <w:rsid w:val="00F12E51"/>
    <w:rsid w:val="00F13595"/>
    <w:rsid w:val="00F13CB1"/>
    <w:rsid w:val="00F141CA"/>
    <w:rsid w:val="00F14557"/>
    <w:rsid w:val="00F14D13"/>
    <w:rsid w:val="00F152A9"/>
    <w:rsid w:val="00F15F66"/>
    <w:rsid w:val="00F160D2"/>
    <w:rsid w:val="00F17A22"/>
    <w:rsid w:val="00F204A0"/>
    <w:rsid w:val="00F2248F"/>
    <w:rsid w:val="00F23444"/>
    <w:rsid w:val="00F23B6C"/>
    <w:rsid w:val="00F254FC"/>
    <w:rsid w:val="00F27DB4"/>
    <w:rsid w:val="00F30BD1"/>
    <w:rsid w:val="00F31B16"/>
    <w:rsid w:val="00F3226F"/>
    <w:rsid w:val="00F33D5E"/>
    <w:rsid w:val="00F3564C"/>
    <w:rsid w:val="00F35915"/>
    <w:rsid w:val="00F3617D"/>
    <w:rsid w:val="00F3678A"/>
    <w:rsid w:val="00F42383"/>
    <w:rsid w:val="00F43102"/>
    <w:rsid w:val="00F434BD"/>
    <w:rsid w:val="00F4374C"/>
    <w:rsid w:val="00F45D46"/>
    <w:rsid w:val="00F50C11"/>
    <w:rsid w:val="00F51FDA"/>
    <w:rsid w:val="00F52CF0"/>
    <w:rsid w:val="00F54043"/>
    <w:rsid w:val="00F57F39"/>
    <w:rsid w:val="00F61BEE"/>
    <w:rsid w:val="00F61DCB"/>
    <w:rsid w:val="00F6391B"/>
    <w:rsid w:val="00F6525F"/>
    <w:rsid w:val="00F660E7"/>
    <w:rsid w:val="00F66226"/>
    <w:rsid w:val="00F665C7"/>
    <w:rsid w:val="00F6669A"/>
    <w:rsid w:val="00F6695C"/>
    <w:rsid w:val="00F70F09"/>
    <w:rsid w:val="00F718B2"/>
    <w:rsid w:val="00F721A8"/>
    <w:rsid w:val="00F7261C"/>
    <w:rsid w:val="00F73268"/>
    <w:rsid w:val="00F7330B"/>
    <w:rsid w:val="00F763B7"/>
    <w:rsid w:val="00F7727C"/>
    <w:rsid w:val="00F8085C"/>
    <w:rsid w:val="00F84A18"/>
    <w:rsid w:val="00F85BD5"/>
    <w:rsid w:val="00F870C0"/>
    <w:rsid w:val="00F8723C"/>
    <w:rsid w:val="00F87325"/>
    <w:rsid w:val="00F91119"/>
    <w:rsid w:val="00F92510"/>
    <w:rsid w:val="00F929CD"/>
    <w:rsid w:val="00F92AA2"/>
    <w:rsid w:val="00F93BAA"/>
    <w:rsid w:val="00F94C54"/>
    <w:rsid w:val="00F94CE0"/>
    <w:rsid w:val="00F94E8F"/>
    <w:rsid w:val="00F95535"/>
    <w:rsid w:val="00F973DE"/>
    <w:rsid w:val="00F97864"/>
    <w:rsid w:val="00FA34B0"/>
    <w:rsid w:val="00FA44AC"/>
    <w:rsid w:val="00FA490B"/>
    <w:rsid w:val="00FA5B54"/>
    <w:rsid w:val="00FB0B6E"/>
    <w:rsid w:val="00FB3405"/>
    <w:rsid w:val="00FB3F04"/>
    <w:rsid w:val="00FB426C"/>
    <w:rsid w:val="00FB79AC"/>
    <w:rsid w:val="00FC1F1B"/>
    <w:rsid w:val="00FC200B"/>
    <w:rsid w:val="00FC3972"/>
    <w:rsid w:val="00FC4480"/>
    <w:rsid w:val="00FC5F26"/>
    <w:rsid w:val="00FC621F"/>
    <w:rsid w:val="00FC6306"/>
    <w:rsid w:val="00FC755B"/>
    <w:rsid w:val="00FC7BBB"/>
    <w:rsid w:val="00FD28F2"/>
    <w:rsid w:val="00FD2D9B"/>
    <w:rsid w:val="00FD2FB4"/>
    <w:rsid w:val="00FD33DB"/>
    <w:rsid w:val="00FD3FD1"/>
    <w:rsid w:val="00FD7129"/>
    <w:rsid w:val="00FE0BFF"/>
    <w:rsid w:val="00FE1632"/>
    <w:rsid w:val="00FE2E18"/>
    <w:rsid w:val="00FE2FAF"/>
    <w:rsid w:val="00FE43DE"/>
    <w:rsid w:val="00FE528B"/>
    <w:rsid w:val="00FE58F9"/>
    <w:rsid w:val="00FE5F73"/>
    <w:rsid w:val="00FE60C0"/>
    <w:rsid w:val="00FE6AA3"/>
    <w:rsid w:val="00FE6BAE"/>
    <w:rsid w:val="00FE7241"/>
    <w:rsid w:val="00FE78B0"/>
    <w:rsid w:val="00FF17D5"/>
    <w:rsid w:val="00FF17E7"/>
    <w:rsid w:val="00FF1CDC"/>
    <w:rsid w:val="00FF36A1"/>
    <w:rsid w:val="00FF38B4"/>
    <w:rsid w:val="00FF4E38"/>
    <w:rsid w:val="00FF6219"/>
    <w:rsid w:val="00FF6824"/>
    <w:rsid w:val="00FF6BCF"/>
    <w:rsid w:val="00FF6E11"/>
    <w:rsid w:val="010A478A"/>
    <w:rsid w:val="02B32C00"/>
    <w:rsid w:val="02BF15A4"/>
    <w:rsid w:val="032F672A"/>
    <w:rsid w:val="0418006A"/>
    <w:rsid w:val="05300EA8"/>
    <w:rsid w:val="0669642C"/>
    <w:rsid w:val="06FD269B"/>
    <w:rsid w:val="070C2530"/>
    <w:rsid w:val="070F5042"/>
    <w:rsid w:val="07711652"/>
    <w:rsid w:val="07A82607"/>
    <w:rsid w:val="07AF3996"/>
    <w:rsid w:val="07AF7E3A"/>
    <w:rsid w:val="08002616"/>
    <w:rsid w:val="083206EC"/>
    <w:rsid w:val="08AF6C12"/>
    <w:rsid w:val="08C638B8"/>
    <w:rsid w:val="08F5187C"/>
    <w:rsid w:val="09B74D83"/>
    <w:rsid w:val="0A664AD5"/>
    <w:rsid w:val="0A8F5D00"/>
    <w:rsid w:val="0B2F09E4"/>
    <w:rsid w:val="0B332B30"/>
    <w:rsid w:val="0B4D3BF1"/>
    <w:rsid w:val="0CE95B9C"/>
    <w:rsid w:val="0DA32FEC"/>
    <w:rsid w:val="0E4D215A"/>
    <w:rsid w:val="0E767131"/>
    <w:rsid w:val="0EF27AB5"/>
    <w:rsid w:val="0F317386"/>
    <w:rsid w:val="0F693B82"/>
    <w:rsid w:val="0FB4356D"/>
    <w:rsid w:val="0FCB1589"/>
    <w:rsid w:val="10C7659F"/>
    <w:rsid w:val="10D47789"/>
    <w:rsid w:val="113413B0"/>
    <w:rsid w:val="1350572D"/>
    <w:rsid w:val="13743CE5"/>
    <w:rsid w:val="14BA6450"/>
    <w:rsid w:val="15051099"/>
    <w:rsid w:val="152A4FA3"/>
    <w:rsid w:val="158A5A42"/>
    <w:rsid w:val="15962639"/>
    <w:rsid w:val="159E0850"/>
    <w:rsid w:val="15F163D6"/>
    <w:rsid w:val="1606331B"/>
    <w:rsid w:val="16161084"/>
    <w:rsid w:val="166242C9"/>
    <w:rsid w:val="16710E27"/>
    <w:rsid w:val="16887F44"/>
    <w:rsid w:val="17123F41"/>
    <w:rsid w:val="17221785"/>
    <w:rsid w:val="17B732FF"/>
    <w:rsid w:val="17F76C25"/>
    <w:rsid w:val="181B5077"/>
    <w:rsid w:val="18237735"/>
    <w:rsid w:val="18AB63FB"/>
    <w:rsid w:val="19A277FE"/>
    <w:rsid w:val="19D013B4"/>
    <w:rsid w:val="1D4B5481"/>
    <w:rsid w:val="1D4D0670"/>
    <w:rsid w:val="1DFC39E1"/>
    <w:rsid w:val="1E0B5246"/>
    <w:rsid w:val="1E6B5606"/>
    <w:rsid w:val="1EE30D98"/>
    <w:rsid w:val="1FC336D0"/>
    <w:rsid w:val="1FC745AB"/>
    <w:rsid w:val="1FD004F5"/>
    <w:rsid w:val="1FE30229"/>
    <w:rsid w:val="206C021E"/>
    <w:rsid w:val="208F215E"/>
    <w:rsid w:val="2164183D"/>
    <w:rsid w:val="216E6D19"/>
    <w:rsid w:val="217446F8"/>
    <w:rsid w:val="22596EC8"/>
    <w:rsid w:val="23213471"/>
    <w:rsid w:val="233B2AAE"/>
    <w:rsid w:val="23EB7FF4"/>
    <w:rsid w:val="23FD5040"/>
    <w:rsid w:val="241E2177"/>
    <w:rsid w:val="24B11017"/>
    <w:rsid w:val="24E46F1D"/>
    <w:rsid w:val="24FF3D57"/>
    <w:rsid w:val="255D0A7D"/>
    <w:rsid w:val="256246C7"/>
    <w:rsid w:val="25BF0E4C"/>
    <w:rsid w:val="25ED0053"/>
    <w:rsid w:val="26712A32"/>
    <w:rsid w:val="26832765"/>
    <w:rsid w:val="27134F09"/>
    <w:rsid w:val="279544FE"/>
    <w:rsid w:val="27975217"/>
    <w:rsid w:val="27C2090D"/>
    <w:rsid w:val="283965C4"/>
    <w:rsid w:val="28500425"/>
    <w:rsid w:val="28B07116"/>
    <w:rsid w:val="294845E5"/>
    <w:rsid w:val="298067C4"/>
    <w:rsid w:val="298C236E"/>
    <w:rsid w:val="29A81B2F"/>
    <w:rsid w:val="29D05CC2"/>
    <w:rsid w:val="29F6324E"/>
    <w:rsid w:val="2BA67502"/>
    <w:rsid w:val="2BB934FB"/>
    <w:rsid w:val="2C091017"/>
    <w:rsid w:val="2C1E0C19"/>
    <w:rsid w:val="2C780867"/>
    <w:rsid w:val="2CAC5136"/>
    <w:rsid w:val="2CB239E4"/>
    <w:rsid w:val="2D3D05D5"/>
    <w:rsid w:val="2E0028ED"/>
    <w:rsid w:val="2E933762"/>
    <w:rsid w:val="2ED973C6"/>
    <w:rsid w:val="2F612DC7"/>
    <w:rsid w:val="2F8D4DDE"/>
    <w:rsid w:val="2FCD67FF"/>
    <w:rsid w:val="2FDE27BA"/>
    <w:rsid w:val="306B6744"/>
    <w:rsid w:val="30D20571"/>
    <w:rsid w:val="31DD6305"/>
    <w:rsid w:val="326F5B30"/>
    <w:rsid w:val="32D81550"/>
    <w:rsid w:val="34891DE7"/>
    <w:rsid w:val="34945B3E"/>
    <w:rsid w:val="350872F8"/>
    <w:rsid w:val="359F2930"/>
    <w:rsid w:val="35FA7C22"/>
    <w:rsid w:val="361E6007"/>
    <w:rsid w:val="365B2DB7"/>
    <w:rsid w:val="373B04F2"/>
    <w:rsid w:val="37BC5AD7"/>
    <w:rsid w:val="37CD55EE"/>
    <w:rsid w:val="38076966"/>
    <w:rsid w:val="38803652"/>
    <w:rsid w:val="38E75BCA"/>
    <w:rsid w:val="38EF2B39"/>
    <w:rsid w:val="38FB0680"/>
    <w:rsid w:val="390D0B23"/>
    <w:rsid w:val="393347E4"/>
    <w:rsid w:val="39E66E3B"/>
    <w:rsid w:val="3A3712E8"/>
    <w:rsid w:val="3B28024C"/>
    <w:rsid w:val="3B464036"/>
    <w:rsid w:val="3B4C7172"/>
    <w:rsid w:val="3B500204"/>
    <w:rsid w:val="3B6224F2"/>
    <w:rsid w:val="3B8C57C0"/>
    <w:rsid w:val="3BE70C49"/>
    <w:rsid w:val="3BF64DB9"/>
    <w:rsid w:val="3C4552A1"/>
    <w:rsid w:val="3C6664F1"/>
    <w:rsid w:val="3C917532"/>
    <w:rsid w:val="3CBB17EA"/>
    <w:rsid w:val="3CC82828"/>
    <w:rsid w:val="3CDD2778"/>
    <w:rsid w:val="3E5007C4"/>
    <w:rsid w:val="3F066FDC"/>
    <w:rsid w:val="3F1F55DB"/>
    <w:rsid w:val="3F731171"/>
    <w:rsid w:val="3F8B0EF8"/>
    <w:rsid w:val="40736F4F"/>
    <w:rsid w:val="411B6C1D"/>
    <w:rsid w:val="413E755D"/>
    <w:rsid w:val="41F52311"/>
    <w:rsid w:val="41FA1643"/>
    <w:rsid w:val="42522EAA"/>
    <w:rsid w:val="43B67EE8"/>
    <w:rsid w:val="443A6B7D"/>
    <w:rsid w:val="447C6A0E"/>
    <w:rsid w:val="470D0EF5"/>
    <w:rsid w:val="472F1E22"/>
    <w:rsid w:val="48651873"/>
    <w:rsid w:val="48DF490D"/>
    <w:rsid w:val="48E909BE"/>
    <w:rsid w:val="4937139A"/>
    <w:rsid w:val="49444FF0"/>
    <w:rsid w:val="4953791E"/>
    <w:rsid w:val="49CC1C60"/>
    <w:rsid w:val="4A007F0A"/>
    <w:rsid w:val="4A987CDE"/>
    <w:rsid w:val="4BF86001"/>
    <w:rsid w:val="4C0B44E0"/>
    <w:rsid w:val="4D3353C9"/>
    <w:rsid w:val="4D371A30"/>
    <w:rsid w:val="4D823459"/>
    <w:rsid w:val="4D88228C"/>
    <w:rsid w:val="4DC0127A"/>
    <w:rsid w:val="4E915170"/>
    <w:rsid w:val="500B0F52"/>
    <w:rsid w:val="50962F12"/>
    <w:rsid w:val="50B43398"/>
    <w:rsid w:val="51352D46"/>
    <w:rsid w:val="51C472DA"/>
    <w:rsid w:val="51E51D80"/>
    <w:rsid w:val="523B19EE"/>
    <w:rsid w:val="525E7A5F"/>
    <w:rsid w:val="53805391"/>
    <w:rsid w:val="546926EB"/>
    <w:rsid w:val="54FD1234"/>
    <w:rsid w:val="551D428E"/>
    <w:rsid w:val="55365E14"/>
    <w:rsid w:val="555E403D"/>
    <w:rsid w:val="557707AE"/>
    <w:rsid w:val="563A433F"/>
    <w:rsid w:val="56991B4E"/>
    <w:rsid w:val="56D91034"/>
    <w:rsid w:val="570A1F63"/>
    <w:rsid w:val="58E42340"/>
    <w:rsid w:val="5A5652A6"/>
    <w:rsid w:val="5A731BCE"/>
    <w:rsid w:val="5AA52142"/>
    <w:rsid w:val="5B1F1D55"/>
    <w:rsid w:val="5B2B502A"/>
    <w:rsid w:val="5CE9292E"/>
    <w:rsid w:val="5D485594"/>
    <w:rsid w:val="5E39312E"/>
    <w:rsid w:val="5E567E0D"/>
    <w:rsid w:val="5F6661A5"/>
    <w:rsid w:val="5F6B44CE"/>
    <w:rsid w:val="5F8F442C"/>
    <w:rsid w:val="5F9A6ADF"/>
    <w:rsid w:val="5FEF1CF6"/>
    <w:rsid w:val="600F2399"/>
    <w:rsid w:val="60A51C87"/>
    <w:rsid w:val="60A76A75"/>
    <w:rsid w:val="60D3786A"/>
    <w:rsid w:val="60EC26DA"/>
    <w:rsid w:val="611834CF"/>
    <w:rsid w:val="61775F1F"/>
    <w:rsid w:val="61994610"/>
    <w:rsid w:val="61DF3FED"/>
    <w:rsid w:val="61F07FA8"/>
    <w:rsid w:val="62516C98"/>
    <w:rsid w:val="626D1BCA"/>
    <w:rsid w:val="626E652C"/>
    <w:rsid w:val="62995F30"/>
    <w:rsid w:val="62AC0785"/>
    <w:rsid w:val="643E324C"/>
    <w:rsid w:val="64850E7B"/>
    <w:rsid w:val="648A12CC"/>
    <w:rsid w:val="64A920F3"/>
    <w:rsid w:val="657F1D6E"/>
    <w:rsid w:val="659B022A"/>
    <w:rsid w:val="65BC3D5A"/>
    <w:rsid w:val="662B15AE"/>
    <w:rsid w:val="668B7F72"/>
    <w:rsid w:val="66A7157D"/>
    <w:rsid w:val="66FE4F15"/>
    <w:rsid w:val="67762CFD"/>
    <w:rsid w:val="683D217C"/>
    <w:rsid w:val="68BB130F"/>
    <w:rsid w:val="691E054C"/>
    <w:rsid w:val="696E5CB7"/>
    <w:rsid w:val="6A225F38"/>
    <w:rsid w:val="6A4B38FE"/>
    <w:rsid w:val="6AA06A0F"/>
    <w:rsid w:val="6B086362"/>
    <w:rsid w:val="6BCF1A73"/>
    <w:rsid w:val="6C3C2767"/>
    <w:rsid w:val="6C5602D5"/>
    <w:rsid w:val="6CA65E33"/>
    <w:rsid w:val="6CB13DA5"/>
    <w:rsid w:val="6D2750CA"/>
    <w:rsid w:val="6FF9271D"/>
    <w:rsid w:val="70A25F04"/>
    <w:rsid w:val="70DD65D9"/>
    <w:rsid w:val="711C44E0"/>
    <w:rsid w:val="71327C95"/>
    <w:rsid w:val="71752277"/>
    <w:rsid w:val="718D136F"/>
    <w:rsid w:val="719E357C"/>
    <w:rsid w:val="72A5093A"/>
    <w:rsid w:val="72CF7AFA"/>
    <w:rsid w:val="735C724B"/>
    <w:rsid w:val="738636EA"/>
    <w:rsid w:val="73C82B32"/>
    <w:rsid w:val="74277859"/>
    <w:rsid w:val="74E224E6"/>
    <w:rsid w:val="757D16FB"/>
    <w:rsid w:val="75DE03EB"/>
    <w:rsid w:val="763F3B06"/>
    <w:rsid w:val="76465F91"/>
    <w:rsid w:val="769F0A01"/>
    <w:rsid w:val="77205ABA"/>
    <w:rsid w:val="77AE1C92"/>
    <w:rsid w:val="77B94CEC"/>
    <w:rsid w:val="7803238B"/>
    <w:rsid w:val="799E4EDF"/>
    <w:rsid w:val="79BC6C95"/>
    <w:rsid w:val="7A601D17"/>
    <w:rsid w:val="7B643D4F"/>
    <w:rsid w:val="7BA43E85"/>
    <w:rsid w:val="7CB573BB"/>
    <w:rsid w:val="7D6438CC"/>
    <w:rsid w:val="7DAC0899"/>
    <w:rsid w:val="7E024EBF"/>
    <w:rsid w:val="7E171C98"/>
    <w:rsid w:val="7EE06F82"/>
    <w:rsid w:val="7F111831"/>
    <w:rsid w:val="7FC003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9"/>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link w:val="30"/>
    <w:qFormat/>
    <w:uiPriority w:val="0"/>
    <w:pPr>
      <w:adjustRightInd w:val="0"/>
      <w:spacing w:line="312" w:lineRule="atLeast"/>
      <w:ind w:firstLine="420"/>
      <w:textAlignment w:val="baseline"/>
    </w:pPr>
    <w:rPr>
      <w:kern w:val="0"/>
      <w:szCs w:val="20"/>
    </w:rPr>
  </w:style>
  <w:style w:type="paragraph" w:styleId="7">
    <w:name w:val="Document Map"/>
    <w:basedOn w:val="1"/>
    <w:semiHidden/>
    <w:qFormat/>
    <w:uiPriority w:val="0"/>
    <w:pPr>
      <w:shd w:val="clear" w:color="auto" w:fill="000080"/>
    </w:pPr>
  </w:style>
  <w:style w:type="paragraph" w:styleId="8">
    <w:name w:val="annotation text"/>
    <w:basedOn w:val="1"/>
    <w:link w:val="31"/>
    <w:qFormat/>
    <w:uiPriority w:val="0"/>
    <w:pPr>
      <w:jc w:val="left"/>
    </w:pPr>
  </w:style>
  <w:style w:type="paragraph" w:styleId="9">
    <w:name w:val="Body Text Indent"/>
    <w:basedOn w:val="1"/>
    <w:qFormat/>
    <w:uiPriority w:val="0"/>
    <w:pPr>
      <w:ind w:left="480" w:hanging="480" w:hangingChars="200"/>
    </w:pPr>
    <w:rPr>
      <w:sz w:val="24"/>
    </w:rPr>
  </w:style>
  <w:style w:type="paragraph" w:styleId="10">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11">
    <w:name w:val="Plain Text"/>
    <w:basedOn w:val="1"/>
    <w:link w:val="32"/>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2">
    <w:name w:val="Date"/>
    <w:basedOn w:val="1"/>
    <w:next w:val="1"/>
    <w:qFormat/>
    <w:uiPriority w:val="0"/>
    <w:pPr>
      <w:ind w:left="100" w:leftChars="2500"/>
    </w:pPr>
    <w:rPr>
      <w:szCs w:val="20"/>
    </w:rPr>
  </w:style>
  <w:style w:type="paragraph" w:styleId="13">
    <w:name w:val="Body Text Indent 2"/>
    <w:basedOn w:val="1"/>
    <w:qFormat/>
    <w:uiPriority w:val="0"/>
    <w:pPr>
      <w:spacing w:line="500" w:lineRule="exact"/>
      <w:ind w:firstLine="511" w:firstLineChars="213"/>
    </w:pPr>
    <w:rPr>
      <w:sz w:val="24"/>
    </w:r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tabs>
        <w:tab w:val="right" w:leader="dot" w:pos="9118"/>
      </w:tabs>
      <w:spacing w:line="320" w:lineRule="exact"/>
      <w:jc w:val="center"/>
    </w:pPr>
    <w:rPr>
      <w:szCs w:val="20"/>
    </w:rPr>
  </w:style>
  <w:style w:type="paragraph" w:styleId="18">
    <w:name w:val="Body Text Indent 3"/>
    <w:basedOn w:val="1"/>
    <w:qFormat/>
    <w:uiPriority w:val="0"/>
    <w:pPr>
      <w:spacing w:line="500" w:lineRule="exact"/>
      <w:ind w:left="511" w:hanging="511" w:hangingChars="213"/>
    </w:pPr>
    <w:rPr>
      <w:sz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8"/>
    <w:next w:val="8"/>
    <w:link w:val="34"/>
    <w:qFormat/>
    <w:uiPriority w:val="0"/>
    <w:rPr>
      <w:b/>
      <w:bCs/>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Light Grid Accent 6"/>
    <w:basedOn w:val="21"/>
    <w:qFormat/>
    <w:uiPriority w:val="62"/>
    <w:pPr>
      <w:ind w:firstLine="196" w:firstLineChars="196"/>
    </w:pPr>
    <w:rPr>
      <w:rFonts w:ascii="Calibri" w:hAnsi="Calibri"/>
      <w:kern w:val="2"/>
      <w:sz w:val="21"/>
      <w:szCs w:val="22"/>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l2br w:val="nil"/>
          <w:tr2bl w:val="nil"/>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l2br w:val="nil"/>
          <w:tr2bl w:val="nil"/>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tcPr>
    </w:tblStyle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character" w:customStyle="1" w:styleId="29">
    <w:name w:val="标题 3 字符"/>
    <w:link w:val="5"/>
    <w:semiHidden/>
    <w:qFormat/>
    <w:uiPriority w:val="0"/>
    <w:rPr>
      <w:b/>
      <w:bCs/>
      <w:kern w:val="2"/>
      <w:sz w:val="32"/>
      <w:szCs w:val="32"/>
    </w:rPr>
  </w:style>
  <w:style w:type="character" w:customStyle="1" w:styleId="30">
    <w:name w:val="正文缩进 字符1"/>
    <w:link w:val="6"/>
    <w:qFormat/>
    <w:uiPriority w:val="0"/>
    <w:rPr>
      <w:rFonts w:eastAsia="宋体"/>
      <w:sz w:val="21"/>
      <w:lang w:val="en-US" w:eastAsia="zh-CN" w:bidi="ar-SA"/>
    </w:rPr>
  </w:style>
  <w:style w:type="character" w:customStyle="1" w:styleId="31">
    <w:name w:val="批注文字 字符"/>
    <w:link w:val="8"/>
    <w:qFormat/>
    <w:uiPriority w:val="0"/>
    <w:rPr>
      <w:kern w:val="2"/>
      <w:sz w:val="21"/>
      <w:szCs w:val="24"/>
    </w:rPr>
  </w:style>
  <w:style w:type="character" w:customStyle="1" w:styleId="32">
    <w:name w:val="纯文本 字符1"/>
    <w:link w:val="11"/>
    <w:qFormat/>
    <w:uiPriority w:val="0"/>
    <w:rPr>
      <w:rFonts w:ascii="宋体" w:hAnsi="Courier New" w:eastAsia="宋体"/>
      <w:sz w:val="21"/>
      <w:szCs w:val="21"/>
      <w:lang w:val="en-US" w:eastAsia="zh-CN" w:bidi="ar-SA"/>
    </w:rPr>
  </w:style>
  <w:style w:type="character" w:customStyle="1" w:styleId="33">
    <w:name w:val="批注框文本 字符"/>
    <w:link w:val="14"/>
    <w:qFormat/>
    <w:uiPriority w:val="0"/>
    <w:rPr>
      <w:kern w:val="2"/>
      <w:sz w:val="18"/>
      <w:szCs w:val="18"/>
    </w:rPr>
  </w:style>
  <w:style w:type="character" w:customStyle="1" w:styleId="34">
    <w:name w:val="批注主题 字符"/>
    <w:link w:val="20"/>
    <w:qFormat/>
    <w:uiPriority w:val="0"/>
    <w:rPr>
      <w:b/>
      <w:bCs/>
      <w:kern w:val="2"/>
      <w:sz w:val="21"/>
      <w:szCs w:val="24"/>
    </w:rPr>
  </w:style>
  <w:style w:type="character" w:customStyle="1" w:styleId="35">
    <w:name w:val="Char Char Char"/>
    <w:qFormat/>
    <w:uiPriority w:val="0"/>
    <w:rPr>
      <w:rFonts w:ascii="宋体" w:hAnsi="Courier New" w:eastAsia="宋体"/>
      <w:sz w:val="21"/>
      <w:szCs w:val="21"/>
      <w:lang w:val="en-US" w:eastAsia="zh-CN" w:bidi="ar-SA"/>
    </w:rPr>
  </w:style>
  <w:style w:type="paragraph" w:customStyle="1" w:styleId="36">
    <w:name w:val="Char Char Char Char Char Char Char"/>
    <w:basedOn w:val="1"/>
    <w:qFormat/>
    <w:uiPriority w:val="0"/>
    <w:rPr>
      <w:rFonts w:ascii="仿宋_GB2312" w:eastAsia="仿宋_GB2312"/>
      <w:b/>
      <w:sz w:val="32"/>
      <w:szCs w:val="32"/>
    </w:rPr>
  </w:style>
  <w:style w:type="paragraph" w:customStyle="1" w:styleId="37">
    <w:name w:val="保留正文"/>
    <w:basedOn w:val="2"/>
    <w:qFormat/>
    <w:uiPriority w:val="0"/>
    <w:pPr>
      <w:keepNext/>
      <w:spacing w:after="160"/>
    </w:pPr>
    <w:rPr>
      <w:szCs w:val="20"/>
    </w:rPr>
  </w:style>
  <w:style w:type="character" w:customStyle="1" w:styleId="38">
    <w:name w:val="title1"/>
    <w:qFormat/>
    <w:uiPriority w:val="0"/>
    <w:rPr>
      <w:rFonts w:hint="eastAsia" w:ascii="宋体" w:hAnsi="宋体" w:eastAsia="宋体"/>
      <w:b/>
      <w:bCs/>
      <w:sz w:val="22"/>
      <w:szCs w:val="22"/>
    </w:rPr>
  </w:style>
  <w:style w:type="paragraph" w:customStyle="1" w:styleId="3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0">
    <w:name w:val="正文缩进1"/>
    <w:basedOn w:val="1"/>
    <w:next w:val="9"/>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4">
    <w:name w:val="普通文字 Char1"/>
    <w:qFormat/>
    <w:uiPriority w:val="0"/>
    <w:rPr>
      <w:rFonts w:ascii="宋体" w:hAnsi="Courier New" w:eastAsia="宋体"/>
      <w:kern w:val="2"/>
      <w:sz w:val="21"/>
      <w:lang w:val="en-US" w:eastAsia="zh-CN" w:bidi="ar-SA"/>
    </w:rPr>
  </w:style>
  <w:style w:type="paragraph" w:customStyle="1" w:styleId="45">
    <w:name w:val="_Style 44"/>
    <w:semiHidden/>
    <w:qFormat/>
    <w:uiPriority w:val="99"/>
    <w:rPr>
      <w:rFonts w:ascii="Times New Roman" w:hAnsi="Times New Roman" w:eastAsia="宋体" w:cs="Times New Roman"/>
      <w:kern w:val="2"/>
      <w:sz w:val="21"/>
      <w:szCs w:val="24"/>
      <w:lang w:val="en-US" w:eastAsia="zh-CN" w:bidi="ar-SA"/>
    </w:rPr>
  </w:style>
  <w:style w:type="paragraph" w:customStyle="1" w:styleId="46">
    <w:name w:val="Char2"/>
    <w:basedOn w:val="1"/>
    <w:qFormat/>
    <w:uiPriority w:val="0"/>
    <w:rPr>
      <w:rFonts w:ascii="仿宋_GB2312" w:eastAsia="仿宋_GB2312"/>
      <w:b/>
      <w:sz w:val="32"/>
      <w:szCs w:val="32"/>
    </w:rPr>
  </w:style>
  <w:style w:type="paragraph" w:styleId="47">
    <w:name w:val="List Paragraph"/>
    <w:basedOn w:val="1"/>
    <w:qFormat/>
    <w:uiPriority w:val="34"/>
    <w:pPr>
      <w:ind w:firstLine="420" w:firstLineChars="200"/>
    </w:pPr>
    <w:rPr>
      <w:rFonts w:ascii="Calibri" w:hAnsi="Calibri"/>
      <w:szCs w:val="22"/>
    </w:rPr>
  </w:style>
  <w:style w:type="paragraph" w:customStyle="1" w:styleId="48">
    <w:name w:val="Char Char Char1"/>
    <w:basedOn w:val="1"/>
    <w:qFormat/>
    <w:uiPriority w:val="0"/>
  </w:style>
  <w:style w:type="paragraph" w:customStyle="1" w:styleId="4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0">
    <w:name w:val="正文缩进 字符"/>
    <w:qFormat/>
    <w:uiPriority w:val="0"/>
    <w:rPr>
      <w:rFonts w:eastAsia="??"/>
      <w:sz w:val="24"/>
      <w:szCs w:val="24"/>
      <w:lang w:val="en-US" w:eastAsia="zh-CN" w:bidi="ar-SA"/>
    </w:rPr>
  </w:style>
  <w:style w:type="paragraph" w:customStyle="1" w:styleId="51">
    <w:name w:val="列表段落1"/>
    <w:basedOn w:val="1"/>
    <w:qFormat/>
    <w:uiPriority w:val="34"/>
    <w:pPr>
      <w:ind w:firstLine="420" w:firstLineChars="200"/>
    </w:pPr>
    <w:rPr>
      <w:rFonts w:ascii="Calibri" w:hAnsi="Calibri"/>
      <w:szCs w:val="22"/>
    </w:rPr>
  </w:style>
  <w:style w:type="character" w:customStyle="1" w:styleId="52">
    <w:name w:val="纯文本 字符"/>
    <w:qFormat/>
    <w:uiPriority w:val="99"/>
    <w:rPr>
      <w:rFonts w:ascii="??" w:hAnsi="??" w:eastAsia="??" w:cs="宋体"/>
      <w:kern w:val="2"/>
      <w:sz w:val="21"/>
      <w:szCs w:val="21"/>
    </w:rPr>
  </w:style>
  <w:style w:type="paragraph" w:customStyle="1" w:styleId="53">
    <w:name w:val="正文文本1"/>
    <w:basedOn w:val="1"/>
    <w:qFormat/>
    <w:uiPriority w:val="0"/>
    <w:pPr>
      <w:spacing w:line="480" w:lineRule="auto"/>
      <w:ind w:firstLine="400"/>
    </w:pPr>
    <w:rPr>
      <w:rFonts w:ascii="宋体" w:hAnsi="宋体" w:cs="宋体"/>
      <w:sz w:val="19"/>
      <w:szCs w:val="19"/>
      <w:lang w:val="zh-CN" w:bidi="zh-CN"/>
    </w:rPr>
  </w:style>
  <w:style w:type="paragraph" w:customStyle="1" w:styleId="54">
    <w:name w:val="正文文本 (4)"/>
    <w:basedOn w:val="1"/>
    <w:link w:val="61"/>
    <w:qFormat/>
    <w:uiPriority w:val="0"/>
    <w:pPr>
      <w:spacing w:after="140"/>
      <w:ind w:firstLine="110"/>
    </w:pPr>
    <w:rPr>
      <w:rFonts w:ascii="宋体" w:hAnsi="宋体" w:cs="宋体"/>
      <w:color w:val="767C8B"/>
      <w:sz w:val="26"/>
      <w:szCs w:val="26"/>
      <w:lang w:val="zh-CN" w:bidi="zh-CN"/>
    </w:rPr>
  </w:style>
  <w:style w:type="paragraph" w:customStyle="1" w:styleId="55">
    <w:name w:val="标书正文"/>
    <w:basedOn w:val="1"/>
    <w:qFormat/>
    <w:uiPriority w:val="0"/>
    <w:pPr>
      <w:tabs>
        <w:tab w:val="left" w:pos="6000"/>
      </w:tabs>
      <w:snapToGrid w:val="0"/>
      <w:spacing w:line="400" w:lineRule="exact"/>
      <w:ind w:firstLine="480" w:firstLineChars="200"/>
      <w:textAlignment w:val="center"/>
    </w:pPr>
    <w:rPr>
      <w:rFonts w:ascii="宋体" w:hAnsi="宋体"/>
    </w:rPr>
  </w:style>
  <w:style w:type="paragraph" w:customStyle="1" w:styleId="56">
    <w:name w:val="标题 #2"/>
    <w:basedOn w:val="1"/>
    <w:link w:val="59"/>
    <w:qFormat/>
    <w:uiPriority w:val="0"/>
    <w:pPr>
      <w:spacing w:after="820" w:line="634" w:lineRule="exact"/>
      <w:jc w:val="center"/>
      <w:outlineLvl w:val="1"/>
    </w:pPr>
    <w:rPr>
      <w:rFonts w:ascii="宋体" w:hAnsi="宋体" w:cs="宋体"/>
      <w:color w:val="767C8B"/>
      <w:sz w:val="34"/>
      <w:szCs w:val="34"/>
      <w:lang w:val="zh-CN" w:bidi="zh-CN"/>
    </w:rPr>
  </w:style>
  <w:style w:type="paragraph" w:customStyle="1" w:styleId="57">
    <w:name w:val="其他"/>
    <w:basedOn w:val="1"/>
    <w:link w:val="60"/>
    <w:qFormat/>
    <w:uiPriority w:val="0"/>
    <w:pPr>
      <w:spacing w:line="480" w:lineRule="auto"/>
      <w:ind w:firstLine="400"/>
    </w:pPr>
    <w:rPr>
      <w:rFonts w:ascii="宋体" w:hAnsi="宋体" w:cs="宋体"/>
      <w:sz w:val="19"/>
      <w:szCs w:val="19"/>
      <w:lang w:val="zh-CN" w:bidi="zh-CN"/>
    </w:rPr>
  </w:style>
  <w:style w:type="character" w:customStyle="1" w:styleId="58">
    <w:name w:val="Unresolved Mention"/>
    <w:basedOn w:val="24"/>
    <w:semiHidden/>
    <w:unhideWhenUsed/>
    <w:qFormat/>
    <w:uiPriority w:val="99"/>
    <w:rPr>
      <w:color w:val="605E5C"/>
      <w:shd w:val="clear" w:color="auto" w:fill="E1DFDD"/>
    </w:rPr>
  </w:style>
  <w:style w:type="character" w:customStyle="1" w:styleId="59">
    <w:name w:val="标题 #2_"/>
    <w:basedOn w:val="24"/>
    <w:link w:val="56"/>
    <w:qFormat/>
    <w:uiPriority w:val="0"/>
    <w:rPr>
      <w:rFonts w:ascii="宋体" w:hAnsi="宋体" w:cs="宋体"/>
      <w:color w:val="767C8B"/>
      <w:kern w:val="2"/>
      <w:sz w:val="34"/>
      <w:szCs w:val="34"/>
      <w:lang w:val="zh-CN" w:bidi="zh-CN"/>
    </w:rPr>
  </w:style>
  <w:style w:type="character" w:customStyle="1" w:styleId="60">
    <w:name w:val="其他_"/>
    <w:basedOn w:val="24"/>
    <w:link w:val="57"/>
    <w:qFormat/>
    <w:uiPriority w:val="0"/>
    <w:rPr>
      <w:rFonts w:ascii="宋体" w:hAnsi="宋体" w:cs="宋体"/>
      <w:kern w:val="2"/>
      <w:sz w:val="19"/>
      <w:szCs w:val="19"/>
      <w:lang w:val="zh-CN" w:bidi="zh-CN"/>
    </w:rPr>
  </w:style>
  <w:style w:type="character" w:customStyle="1" w:styleId="61">
    <w:name w:val="正文文本 (4)_"/>
    <w:basedOn w:val="24"/>
    <w:link w:val="54"/>
    <w:qFormat/>
    <w:uiPriority w:val="0"/>
    <w:rPr>
      <w:rFonts w:ascii="宋体" w:hAnsi="宋体" w:cs="宋体"/>
      <w:color w:val="767C8B"/>
      <w:kern w:val="2"/>
      <w:sz w:val="26"/>
      <w:szCs w:val="26"/>
      <w:lang w:val="zh-CN" w:bidi="zh-CN"/>
    </w:rPr>
  </w:style>
  <w:style w:type="paragraph" w:customStyle="1" w:styleId="62">
    <w:name w:val="List Paragraph_b70d277a-e5a9-4c44-bf8e-2ccaa6e690d7"/>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F486-5940-4365-B2D7-3F92B30F7789}">
  <ds:schemaRefs/>
</ds:datastoreItem>
</file>

<file path=docProps/app.xml><?xml version="1.0" encoding="utf-8"?>
<Properties xmlns="http://schemas.openxmlformats.org/officeDocument/2006/extended-properties" xmlns:vt="http://schemas.openxmlformats.org/officeDocument/2006/docPropsVTypes">
  <Template>Normal</Template>
  <Company>CQSD</Company>
  <Pages>24</Pages>
  <Words>11917</Words>
  <Characters>12580</Characters>
  <Lines>112</Lines>
  <Paragraphs>31</Paragraphs>
  <TotalTime>48</TotalTime>
  <ScaleCrop>false</ScaleCrop>
  <LinksUpToDate>false</LinksUpToDate>
  <CharactersWithSpaces>13129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2023-06-07T10:38:00Z</dcterms:created>
  <dc:creator>LCMZX</dc:creator>
  <cp:lastModifiedBy>wps</cp:lastModifiedBy>
  <cp:lastPrinted>2022-01-01T04:23:00Z</cp:lastPrinted>
  <dcterms:modified xsi:type="dcterms:W3CDTF">2023-08-28T06:57:53Z</dcterms:modified>
  <dc:title>温州市政府采购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3F71117174EF4F969CCBDB0AB24CCA0B</vt:lpwstr>
  </property>
</Properties>
</file>